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06EE" w14:textId="25331F4B" w:rsidR="0022142C" w:rsidRPr="002F45D2" w:rsidRDefault="00F77E78" w:rsidP="0022142C">
      <w:pPr>
        <w:tabs>
          <w:tab w:val="center" w:pos="4680"/>
          <w:tab w:val="right" w:pos="9360"/>
        </w:tabs>
        <w:autoSpaceDE w:val="0"/>
        <w:autoSpaceDN w:val="0"/>
        <w:spacing w:before="120" w:after="120" w:line="280" w:lineRule="exact"/>
        <w:jc w:val="center"/>
        <w:rPr>
          <w:rFonts w:ascii="Arial" w:hAnsi="Arial" w:cs="Arial"/>
          <w:sz w:val="20"/>
          <w:szCs w:val="20"/>
          <w:lang w:val="en-GB"/>
        </w:rPr>
      </w:pPr>
      <w:r w:rsidRPr="002F45D2">
        <w:rPr>
          <w:rFonts w:ascii="Arial" w:hAnsi="Arial" w:cs="Arial"/>
          <w:b/>
          <w:sz w:val="20"/>
          <w:szCs w:val="20"/>
          <w:lang w:val="en-GB"/>
        </w:rPr>
        <w:t>EXPLANATORY NOTES REGARDING ITEM</w:t>
      </w:r>
      <w:r w:rsidR="00A80D81">
        <w:rPr>
          <w:rFonts w:ascii="Arial" w:hAnsi="Arial" w:cs="Arial"/>
          <w:b/>
          <w:sz w:val="20"/>
          <w:szCs w:val="20"/>
          <w:lang w:val="en-GB"/>
        </w:rPr>
        <w:t xml:space="preserve"> 3</w:t>
      </w:r>
      <w:r w:rsidRPr="002F45D2">
        <w:rPr>
          <w:rFonts w:ascii="Arial" w:hAnsi="Arial" w:cs="Arial"/>
          <w:b/>
          <w:sz w:val="20"/>
          <w:szCs w:val="20"/>
          <w:lang w:val="en-GB"/>
        </w:rPr>
        <w:t xml:space="preserve"> OF THE AGENDA OF THE EXTRAORDINARY GENERAL MEETING OF SHAREHOLDERS </w:t>
      </w:r>
      <w:r w:rsidR="00A80D81" w:rsidRPr="002F45D2">
        <w:rPr>
          <w:rFonts w:ascii="Arial" w:hAnsi="Arial" w:cs="Arial"/>
          <w:b/>
          <w:sz w:val="20"/>
          <w:szCs w:val="20"/>
          <w:lang w:val="en-GB"/>
        </w:rPr>
        <w:t>OF ONE UNITED PROPERTIES S.A. (THE “COMPANY”)</w:t>
      </w:r>
      <w:r w:rsidR="00A80D81">
        <w:rPr>
          <w:rFonts w:ascii="Arial" w:hAnsi="Arial" w:cs="Arial"/>
          <w:b/>
          <w:sz w:val="20"/>
          <w:szCs w:val="20"/>
          <w:lang w:val="en-GB"/>
        </w:rPr>
        <w:t xml:space="preserve"> CONVENED OR 9 OCTOBER 2023 </w:t>
      </w:r>
      <w:r w:rsidR="00A80D81" w:rsidRPr="002F45D2">
        <w:rPr>
          <w:rFonts w:ascii="Arial" w:hAnsi="Arial" w:cs="Arial"/>
          <w:b/>
          <w:sz w:val="20"/>
          <w:szCs w:val="20"/>
          <w:lang w:val="en-GB"/>
        </w:rPr>
        <w:t>(“EGMS”)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835020" w:rsidRPr="002F45D2" w14:paraId="68A74E5C" w14:textId="77777777" w:rsidTr="00D92A31">
        <w:trPr>
          <w:trHeight w:val="981"/>
        </w:trPr>
        <w:tc>
          <w:tcPr>
            <w:tcW w:w="9926" w:type="dxa"/>
          </w:tcPr>
          <w:p w14:paraId="65D7E565" w14:textId="2657BBD4"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According to Article 103</w:t>
            </w:r>
            <w:r w:rsidRPr="00E72CD6">
              <w:rPr>
                <w:rFonts w:ascii="Arial" w:hAnsi="Arial" w:cs="Arial"/>
                <w:sz w:val="20"/>
                <w:szCs w:val="16"/>
                <w:vertAlign w:val="superscript"/>
                <w:lang w:val="en-GB"/>
              </w:rPr>
              <w:t>1</w:t>
            </w:r>
            <w:r w:rsidRPr="00A80D81">
              <w:rPr>
                <w:rFonts w:ascii="Arial" w:hAnsi="Arial" w:cs="Arial"/>
                <w:sz w:val="20"/>
                <w:szCs w:val="16"/>
                <w:lang w:val="en-GB"/>
              </w:rPr>
              <w:t xml:space="preserve"> of the Companies Law no. 31/1990, republished, as subsequently amended and supplemented (the </w:t>
            </w:r>
            <w:r w:rsidR="00E72CD6">
              <w:rPr>
                <w:rFonts w:ascii="Arial" w:hAnsi="Arial" w:cs="Arial"/>
                <w:sz w:val="20"/>
                <w:szCs w:val="16"/>
                <w:lang w:val="en-GB"/>
              </w:rPr>
              <w:t>“</w:t>
            </w:r>
            <w:r w:rsidRPr="00E72CD6">
              <w:rPr>
                <w:rFonts w:ascii="Arial" w:hAnsi="Arial" w:cs="Arial"/>
                <w:b/>
                <w:bCs/>
                <w:sz w:val="20"/>
                <w:szCs w:val="16"/>
                <w:lang w:val="en-GB"/>
              </w:rPr>
              <w:t>Companies Law</w:t>
            </w:r>
            <w:r w:rsidR="00E72CD6">
              <w:rPr>
                <w:rFonts w:ascii="Arial" w:hAnsi="Arial" w:cs="Arial"/>
                <w:b/>
                <w:bCs/>
                <w:sz w:val="20"/>
                <w:szCs w:val="16"/>
                <w:lang w:val="en-GB"/>
              </w:rPr>
              <w:t>”</w:t>
            </w:r>
            <w:r w:rsidRPr="00A80D81">
              <w:rPr>
                <w:rFonts w:ascii="Arial" w:hAnsi="Arial" w:cs="Arial"/>
                <w:sz w:val="20"/>
                <w:szCs w:val="16"/>
                <w:lang w:val="en-GB"/>
              </w:rPr>
              <w:t>), the buyback of shares can take place under the following conditions:</w:t>
            </w:r>
          </w:p>
          <w:p w14:paraId="26883301" w14:textId="4F138605"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 xml:space="preserve">„a) the authorization of the purchase of its own shares is given by the extraordinary general </w:t>
            </w:r>
            <w:r w:rsidR="00E72CD6">
              <w:rPr>
                <w:rFonts w:ascii="Arial" w:hAnsi="Arial" w:cs="Arial"/>
                <w:sz w:val="20"/>
                <w:szCs w:val="16"/>
                <w:lang w:val="en-GB"/>
              </w:rPr>
              <w:t>meeting</w:t>
            </w:r>
            <w:r w:rsidRPr="00A80D81">
              <w:rPr>
                <w:rFonts w:ascii="Arial" w:hAnsi="Arial" w:cs="Arial"/>
                <w:sz w:val="20"/>
                <w:szCs w:val="16"/>
                <w:lang w:val="en-GB"/>
              </w:rPr>
              <w:t xml:space="preserve"> of the shareholders that establishes the conditions to acquire the shares, mostly the maximum number of shares which is going to be purchased, the period for which the authori</w:t>
            </w:r>
            <w:r w:rsidR="00E72CD6">
              <w:rPr>
                <w:rFonts w:ascii="Arial" w:hAnsi="Arial" w:cs="Arial"/>
                <w:sz w:val="20"/>
                <w:szCs w:val="16"/>
                <w:lang w:val="en-GB"/>
              </w:rPr>
              <w:t>s</w:t>
            </w:r>
            <w:r w:rsidRPr="00A80D81">
              <w:rPr>
                <w:rFonts w:ascii="Arial" w:hAnsi="Arial" w:cs="Arial"/>
                <w:sz w:val="20"/>
                <w:szCs w:val="16"/>
                <w:lang w:val="en-GB"/>
              </w:rPr>
              <w:t>ation is granted and which cannot exceed 18 months as from the date when the decision was published in the Official Gazette of Romania, Part IV, and in case of a purchase for a consideration, their minimum and maximum equivalent value;</w:t>
            </w:r>
          </w:p>
          <w:p w14:paraId="521962A3" w14:textId="77777777"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b) the nominal value of the own shares purchased by the company, including those already existing in its portfolio, cannot exceed 10% of the subscribed registered capital;</w:t>
            </w:r>
          </w:p>
          <w:p w14:paraId="32E9E6AD" w14:textId="77777777"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c) the transaction can only have as object fully paid shares;</w:t>
            </w:r>
          </w:p>
          <w:p w14:paraId="52433E0F" w14:textId="77777777"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d) the payment of the shares thus purchased shall be done only out of the distributable profits or of the available reserves of the company, as registered in the last approved annual financial statement, except for the legal reserves”.</w:t>
            </w:r>
          </w:p>
          <w:p w14:paraId="78B09CAA" w14:textId="2DFF73F7"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 xml:space="preserve">Consequently, the buyback program which is put to the shareholders’ vote in accordance with point 3 on the agenda of the Extraordinary General Meeting of Shareholders convened for </w:t>
            </w:r>
            <w:r w:rsidR="00E72CD6">
              <w:rPr>
                <w:rFonts w:ascii="Arial" w:hAnsi="Arial" w:cs="Arial"/>
                <w:sz w:val="20"/>
                <w:szCs w:val="16"/>
                <w:lang w:val="en-GB"/>
              </w:rPr>
              <w:t>9/10 October 2023</w:t>
            </w:r>
            <w:r w:rsidRPr="00A80D81">
              <w:rPr>
                <w:rFonts w:ascii="Arial" w:hAnsi="Arial" w:cs="Arial"/>
                <w:sz w:val="20"/>
                <w:szCs w:val="16"/>
                <w:lang w:val="en-GB"/>
              </w:rPr>
              <w:t xml:space="preserve"> (the “</w:t>
            </w:r>
            <w:r w:rsidRPr="00E72CD6">
              <w:rPr>
                <w:rFonts w:ascii="Arial" w:hAnsi="Arial" w:cs="Arial"/>
                <w:b/>
                <w:bCs/>
                <w:sz w:val="20"/>
                <w:szCs w:val="16"/>
                <w:lang w:val="en-GB"/>
              </w:rPr>
              <w:t>EGMS</w:t>
            </w:r>
            <w:r w:rsidRPr="00A80D81">
              <w:rPr>
                <w:rFonts w:ascii="Arial" w:hAnsi="Arial" w:cs="Arial"/>
                <w:sz w:val="20"/>
                <w:szCs w:val="16"/>
                <w:lang w:val="en-GB"/>
              </w:rPr>
              <w:t>”) fulfils the requirements of the Companies Law.</w:t>
            </w:r>
          </w:p>
          <w:p w14:paraId="2A771015" w14:textId="77777777" w:rsidR="00A80D81" w:rsidRPr="00A80D81" w:rsidRDefault="00A80D81" w:rsidP="00A80D81">
            <w:pPr>
              <w:spacing w:before="120" w:after="120" w:line="280" w:lineRule="exact"/>
              <w:jc w:val="both"/>
              <w:rPr>
                <w:rFonts w:ascii="Arial" w:hAnsi="Arial" w:cs="Arial"/>
                <w:sz w:val="20"/>
                <w:szCs w:val="16"/>
                <w:lang w:val="en-GB"/>
              </w:rPr>
            </w:pPr>
            <w:r w:rsidRPr="00A80D81">
              <w:rPr>
                <w:rFonts w:ascii="Arial" w:hAnsi="Arial" w:cs="Arial"/>
                <w:sz w:val="20"/>
                <w:szCs w:val="16"/>
                <w:lang w:val="en-GB"/>
              </w:rPr>
              <w:t>In addition to the provisions of the Companies Law, in accordance with the provisions of Commission Delegated Regulation (EU) 2016/1052 of 8 March 2016 supplementing Regulation (EU) No 596/2014 of the European Parliament and of the Council with regard to regulatory technical standards for the conditions applicable to buy-back programmes and stabilisation measures (“</w:t>
            </w:r>
            <w:r w:rsidRPr="00E72CD6">
              <w:rPr>
                <w:rFonts w:ascii="Arial" w:hAnsi="Arial" w:cs="Arial"/>
                <w:b/>
                <w:bCs/>
                <w:sz w:val="20"/>
                <w:szCs w:val="16"/>
                <w:lang w:val="en-GB"/>
              </w:rPr>
              <w:t>Regulation 2016/1052</w:t>
            </w:r>
            <w:r w:rsidRPr="00A80D81">
              <w:rPr>
                <w:rFonts w:ascii="Arial" w:hAnsi="Arial" w:cs="Arial"/>
                <w:sz w:val="20"/>
                <w:szCs w:val="16"/>
                <w:lang w:val="en-GB"/>
              </w:rPr>
              <w:t>”) and those of article 5 of Regulation (EU) No 596/2014 of the European Parliament and of the Council of 16 April 2014 on market abuse (market abuse regulation) and repealing Directive 2003/6/EC of the European Parliament and of the Council and Commission Directives 2003/124/EC, 2003/125/EC and 2004/72/EC (“</w:t>
            </w:r>
            <w:r w:rsidRPr="00E72CD6">
              <w:rPr>
                <w:rFonts w:ascii="Arial" w:hAnsi="Arial" w:cs="Arial"/>
                <w:b/>
                <w:bCs/>
                <w:sz w:val="20"/>
                <w:szCs w:val="16"/>
                <w:lang w:val="en-GB"/>
              </w:rPr>
              <w:t>MAR</w:t>
            </w:r>
            <w:r w:rsidRPr="00A80D81">
              <w:rPr>
                <w:rFonts w:ascii="Arial" w:hAnsi="Arial" w:cs="Arial"/>
                <w:sz w:val="20"/>
                <w:szCs w:val="16"/>
                <w:lang w:val="en-GB"/>
              </w:rPr>
              <w:t>”), the prohibitions in articles 14 (prohibition of insider dealing and of unlawful disclosure of inside information) and 15 (prohibition of market manipulation) of MAR do not apply to trading in own shares in buy-back programmes where:</w:t>
            </w:r>
          </w:p>
          <w:p w14:paraId="3D261817" w14:textId="7976EF10" w:rsidR="00835020" w:rsidRPr="00A80D81" w:rsidRDefault="00A80D81" w:rsidP="00E72CD6">
            <w:pPr>
              <w:pStyle w:val="ListParagraph"/>
              <w:numPr>
                <w:ilvl w:val="0"/>
                <w:numId w:val="15"/>
              </w:numPr>
              <w:spacing w:before="120" w:after="120" w:line="280" w:lineRule="exact"/>
              <w:ind w:left="346"/>
              <w:contextualSpacing w:val="0"/>
              <w:jc w:val="both"/>
              <w:rPr>
                <w:rFonts w:cs="Arial"/>
                <w:b w:val="0"/>
                <w:szCs w:val="16"/>
                <w:lang w:val="en-GB"/>
              </w:rPr>
            </w:pPr>
            <w:r w:rsidRPr="00A80D81">
              <w:rPr>
                <w:rFonts w:cs="Arial"/>
                <w:b w:val="0"/>
                <w:szCs w:val="16"/>
                <w:lang w:val="en-GB"/>
              </w:rPr>
              <w:t>the full details of the program are disclosed prior to the start of trading;</w:t>
            </w:r>
          </w:p>
          <w:p w14:paraId="7FB32ADF" w14:textId="3AA06D74" w:rsidR="00A80D81" w:rsidRPr="00A80D81" w:rsidRDefault="00A80D81" w:rsidP="00E72CD6">
            <w:pPr>
              <w:pStyle w:val="ListParagraph"/>
              <w:numPr>
                <w:ilvl w:val="0"/>
                <w:numId w:val="15"/>
              </w:numPr>
              <w:spacing w:before="120" w:after="120" w:line="280" w:lineRule="exact"/>
              <w:ind w:left="346"/>
              <w:contextualSpacing w:val="0"/>
              <w:jc w:val="both"/>
              <w:rPr>
                <w:rFonts w:cs="Arial"/>
                <w:b w:val="0"/>
                <w:szCs w:val="16"/>
                <w:lang w:val="en-GB"/>
              </w:rPr>
            </w:pPr>
            <w:r w:rsidRPr="00A80D81">
              <w:rPr>
                <w:rFonts w:cs="Arial"/>
                <w:b w:val="0"/>
                <w:szCs w:val="16"/>
                <w:lang w:val="en-GB"/>
              </w:rPr>
              <w:t>trades are reported as being part of the buy-back program to the competent authority of the trading venue in accordance with paragraph 3 and subsequently disclosed to the public;</w:t>
            </w:r>
          </w:p>
          <w:p w14:paraId="1780ACC2" w14:textId="1647EF0E" w:rsidR="00A80D81" w:rsidRPr="00A80D81" w:rsidRDefault="00A80D81" w:rsidP="00E72CD6">
            <w:pPr>
              <w:pStyle w:val="ListParagraph"/>
              <w:numPr>
                <w:ilvl w:val="0"/>
                <w:numId w:val="15"/>
              </w:numPr>
              <w:spacing w:before="120" w:after="120" w:line="280" w:lineRule="exact"/>
              <w:ind w:left="346"/>
              <w:contextualSpacing w:val="0"/>
              <w:jc w:val="both"/>
              <w:rPr>
                <w:rFonts w:cs="Arial"/>
                <w:b w:val="0"/>
                <w:szCs w:val="16"/>
                <w:lang w:val="en-GB"/>
              </w:rPr>
            </w:pPr>
            <w:r w:rsidRPr="00A80D81">
              <w:rPr>
                <w:rFonts w:cs="Arial"/>
                <w:b w:val="0"/>
                <w:szCs w:val="16"/>
                <w:lang w:val="en-GB"/>
              </w:rPr>
              <w:t>adequate limits with regard to price and volume are complied with; and</w:t>
            </w:r>
          </w:p>
          <w:p w14:paraId="3E704D7E" w14:textId="0F4E764C" w:rsidR="00A80D81" w:rsidRPr="00A80D81" w:rsidRDefault="00A80D81" w:rsidP="00E72CD6">
            <w:pPr>
              <w:pStyle w:val="ListParagraph"/>
              <w:numPr>
                <w:ilvl w:val="0"/>
                <w:numId w:val="15"/>
              </w:numPr>
              <w:spacing w:before="120" w:after="120" w:line="280" w:lineRule="exact"/>
              <w:ind w:left="346"/>
              <w:contextualSpacing w:val="0"/>
              <w:jc w:val="both"/>
              <w:rPr>
                <w:rFonts w:cs="Arial"/>
                <w:b w:val="0"/>
                <w:szCs w:val="16"/>
                <w:lang w:val="en-GB"/>
              </w:rPr>
            </w:pPr>
            <w:r w:rsidRPr="00A80D81">
              <w:rPr>
                <w:rFonts w:cs="Arial"/>
                <w:b w:val="0"/>
                <w:szCs w:val="16"/>
                <w:lang w:val="en-GB"/>
              </w:rPr>
              <w:t xml:space="preserve">it is carried out in accordance with the following objectives: (i) to reduce the capital of the issuer; (ii) to meet obligations arising from debt financial instruments that are exchangeable into equity instruments; or (iii) to </w:t>
            </w:r>
            <w:r w:rsidRPr="00A80D81">
              <w:rPr>
                <w:rFonts w:cs="Arial"/>
                <w:b w:val="0"/>
                <w:szCs w:val="16"/>
                <w:lang w:val="en-GB"/>
              </w:rPr>
              <w:lastRenderedPageBreak/>
              <w:t>meet obligations arising from share option plans, or other allocations of shares, to employees or to members of the administrative, management or supervisory bodies of the issuer or of an associate company; and</w:t>
            </w:r>
          </w:p>
          <w:p w14:paraId="7559AB65" w14:textId="02193859" w:rsidR="00A80D81" w:rsidRPr="00A80D81" w:rsidRDefault="00A80D81" w:rsidP="00E72CD6">
            <w:pPr>
              <w:pStyle w:val="ListParagraph"/>
              <w:numPr>
                <w:ilvl w:val="0"/>
                <w:numId w:val="15"/>
              </w:numPr>
              <w:spacing w:before="120" w:after="120" w:line="280" w:lineRule="exact"/>
              <w:ind w:left="346"/>
              <w:contextualSpacing w:val="0"/>
              <w:jc w:val="both"/>
              <w:rPr>
                <w:rFonts w:cs="Arial"/>
                <w:b w:val="0"/>
                <w:szCs w:val="16"/>
                <w:lang w:val="en-GB"/>
              </w:rPr>
            </w:pPr>
            <w:r w:rsidRPr="00A80D81">
              <w:rPr>
                <w:rFonts w:cs="Arial"/>
                <w:b w:val="0"/>
                <w:szCs w:val="16"/>
                <w:lang w:val="en-GB"/>
              </w:rPr>
              <w:t>the conditions set out in MAR and in the technical standards of Regulation 2016/1052 are complied.</w:t>
            </w:r>
          </w:p>
          <w:p w14:paraId="0C112C9E" w14:textId="77777777" w:rsidR="00A80D81" w:rsidRPr="008D3068" w:rsidRDefault="00A80D81" w:rsidP="008D3068">
            <w:pPr>
              <w:spacing w:before="120" w:after="120" w:line="280" w:lineRule="exact"/>
              <w:jc w:val="both"/>
              <w:rPr>
                <w:rFonts w:ascii="Arial" w:hAnsi="Arial" w:cs="Arial"/>
                <w:sz w:val="20"/>
                <w:szCs w:val="20"/>
                <w:lang w:val="en-GB"/>
              </w:rPr>
            </w:pPr>
            <w:r w:rsidRPr="008D3068">
              <w:rPr>
                <w:rFonts w:ascii="Arial" w:hAnsi="Arial" w:cs="Arial"/>
                <w:sz w:val="20"/>
                <w:szCs w:val="20"/>
                <w:lang w:val="en-GB"/>
              </w:rPr>
              <w:t>Thus, the Company will either carry out the buyback program in accordance with the abovementioned provisions (the “safe harbour”) or, as the case may be, to the extent the buyback do not benefit from the safe harbour, in compliance with the prohibitions in articles 14 (prohibition of insider dealing and of unlawful disclosure of inside information) and 15 (prohibition of market manipulation) of MAR.</w:t>
            </w:r>
          </w:p>
          <w:p w14:paraId="558EF705" w14:textId="09E964AC" w:rsidR="00A80D81" w:rsidRPr="00E72CD6" w:rsidRDefault="00A80D81" w:rsidP="00E72CD6">
            <w:pPr>
              <w:spacing w:before="120" w:after="120" w:line="280" w:lineRule="exact"/>
              <w:jc w:val="both"/>
              <w:rPr>
                <w:rFonts w:ascii="Arial" w:hAnsi="Arial" w:cs="Arial"/>
                <w:sz w:val="20"/>
                <w:szCs w:val="20"/>
                <w:lang w:val="en-GB"/>
              </w:rPr>
            </w:pPr>
            <w:r w:rsidRPr="00E72CD6">
              <w:rPr>
                <w:rFonts w:ascii="Arial" w:hAnsi="Arial" w:cs="Arial"/>
                <w:sz w:val="20"/>
                <w:szCs w:val="20"/>
                <w:lang w:val="en-GB"/>
              </w:rPr>
              <w:t>The Board of Directors will ensure adequate public disclosure, prior to the start of trading in the buyback program, of the purpose of the program (the purpose of the program currently still being subject to analysis at the level of the Board of Directors).</w:t>
            </w:r>
          </w:p>
        </w:tc>
      </w:tr>
    </w:tbl>
    <w:p w14:paraId="3A82FD99" w14:textId="37788014" w:rsidR="00A15C68" w:rsidRPr="002F45D2" w:rsidRDefault="00A15C68" w:rsidP="00F41017">
      <w:pPr>
        <w:spacing w:before="120" w:after="120" w:line="280" w:lineRule="exact"/>
        <w:jc w:val="both"/>
        <w:rPr>
          <w:rFonts w:ascii="Arial" w:hAnsi="Arial" w:cs="Arial"/>
          <w:bCs/>
          <w:sz w:val="20"/>
          <w:szCs w:val="20"/>
          <w:lang w:val="en-GB"/>
        </w:rPr>
      </w:pPr>
    </w:p>
    <w:sectPr w:rsidR="00A15C68" w:rsidRPr="002F45D2"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1FB3" w14:textId="77777777" w:rsidR="00031C27" w:rsidRDefault="00031C27" w:rsidP="00A476D7">
      <w:r>
        <w:separator/>
      </w:r>
    </w:p>
  </w:endnote>
  <w:endnote w:type="continuationSeparator" w:id="0">
    <w:p w14:paraId="75686ADF" w14:textId="77777777" w:rsidR="00031C27" w:rsidRDefault="00031C27" w:rsidP="00A476D7">
      <w:r>
        <w:continuationSeparator/>
      </w:r>
    </w:p>
  </w:endnote>
  <w:endnote w:type="continuationNotice" w:id="1">
    <w:p w14:paraId="35E99894" w14:textId="77777777" w:rsidR="00031C27" w:rsidRDefault="00031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03B3A4DB"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230A6233" w:rsidR="006D41B9" w:rsidRDefault="006D41B9" w:rsidP="006D41B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000000">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439FCF6A"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3AFBDAD2" w:rsidR="003B45C9" w:rsidRDefault="003B45C9" w:rsidP="003B45C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C612" w14:textId="77777777" w:rsidR="00031C27" w:rsidRDefault="00031C27" w:rsidP="00A476D7">
      <w:r>
        <w:separator/>
      </w:r>
    </w:p>
  </w:footnote>
  <w:footnote w:type="continuationSeparator" w:id="0">
    <w:p w14:paraId="35681279" w14:textId="77777777" w:rsidR="00031C27" w:rsidRDefault="00031C27" w:rsidP="00A476D7">
      <w:r>
        <w:continuationSeparator/>
      </w:r>
    </w:p>
  </w:footnote>
  <w:footnote w:type="continuationNotice" w:id="1">
    <w:p w14:paraId="3E6CEEC7" w14:textId="77777777" w:rsidR="00031C27" w:rsidRDefault="00031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tblGrid>
    <w:tr w:rsidR="001162A5" w14:paraId="1389BD42" w14:textId="77777777" w:rsidTr="00BC4280">
      <w:trPr>
        <w:trHeight w:val="346"/>
      </w:trPr>
      <w:tc>
        <w:tcPr>
          <w:tcW w:w="10686" w:type="dxa"/>
          <w:vMerge w:val="restart"/>
          <w:vAlign w:val="center"/>
        </w:tcPr>
        <w:p w14:paraId="6B3A172D" w14:textId="4A4D03AC" w:rsidR="001162A5" w:rsidRDefault="001162A5" w:rsidP="00BC4280">
          <w:pPr>
            <w:pStyle w:val="Header"/>
            <w:jc w:val="cent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r>
    <w:tr w:rsidR="001162A5" w14:paraId="25448B45" w14:textId="77777777" w:rsidTr="001162A5">
      <w:trPr>
        <w:trHeight w:val="346"/>
      </w:trPr>
      <w:tc>
        <w:tcPr>
          <w:tcW w:w="10686" w:type="dxa"/>
          <w:vMerge/>
        </w:tcPr>
        <w:p w14:paraId="262E4B52" w14:textId="77777777" w:rsidR="001162A5" w:rsidRDefault="001162A5" w:rsidP="00447D15">
          <w:pPr>
            <w:pStyle w:val="Header"/>
            <w:rPr>
              <w:noProof/>
            </w:rPr>
          </w:pPr>
        </w:p>
      </w:tc>
    </w:tr>
    <w:tr w:rsidR="001162A5" w14:paraId="3E547DDC" w14:textId="77777777" w:rsidTr="001162A5">
      <w:trPr>
        <w:trHeight w:val="276"/>
      </w:trPr>
      <w:tc>
        <w:tcPr>
          <w:tcW w:w="10686" w:type="dxa"/>
          <w:vMerge/>
        </w:tcPr>
        <w:p w14:paraId="519F95E8" w14:textId="77777777" w:rsidR="001162A5" w:rsidRDefault="001162A5" w:rsidP="00447D15">
          <w:pPr>
            <w:pStyle w:val="Header"/>
            <w:rPr>
              <w:noProof/>
            </w:rPr>
          </w:pPr>
        </w:p>
      </w:tc>
    </w:tr>
    <w:tr w:rsidR="001162A5" w14:paraId="28615DB6" w14:textId="77777777" w:rsidTr="001162A5">
      <w:trPr>
        <w:trHeight w:val="346"/>
      </w:trPr>
      <w:tc>
        <w:tcPr>
          <w:tcW w:w="10686" w:type="dxa"/>
          <w:vMerge/>
        </w:tcPr>
        <w:p w14:paraId="4A6D2F4C" w14:textId="77777777" w:rsidR="001162A5" w:rsidRDefault="001162A5" w:rsidP="00447D15">
          <w:pPr>
            <w:pStyle w:val="Header"/>
            <w:rPr>
              <w:noProof/>
            </w:rP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872"/>
    <w:multiLevelType w:val="hybridMultilevel"/>
    <w:tmpl w:val="9280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234A"/>
    <w:multiLevelType w:val="hybridMultilevel"/>
    <w:tmpl w:val="00F6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55F2"/>
    <w:multiLevelType w:val="hybridMultilevel"/>
    <w:tmpl w:val="8B5228F6"/>
    <w:lvl w:ilvl="0" w:tplc="5910450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FF58DB"/>
    <w:multiLevelType w:val="hybridMultilevel"/>
    <w:tmpl w:val="AF7CD0C6"/>
    <w:lvl w:ilvl="0" w:tplc="C54CAC1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8601E"/>
    <w:multiLevelType w:val="hybridMultilevel"/>
    <w:tmpl w:val="355C8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D2620"/>
    <w:multiLevelType w:val="hybridMultilevel"/>
    <w:tmpl w:val="C68C5D2A"/>
    <w:lvl w:ilvl="0" w:tplc="196453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D5829"/>
    <w:multiLevelType w:val="hybridMultilevel"/>
    <w:tmpl w:val="1706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154442">
    <w:abstractNumId w:val="6"/>
  </w:num>
  <w:num w:numId="2" w16cid:durableId="83305016">
    <w:abstractNumId w:val="4"/>
  </w:num>
  <w:num w:numId="3" w16cid:durableId="1834683943">
    <w:abstractNumId w:val="10"/>
  </w:num>
  <w:num w:numId="4" w16cid:durableId="1472359523">
    <w:abstractNumId w:val="11"/>
  </w:num>
  <w:num w:numId="5" w16cid:durableId="1772436808">
    <w:abstractNumId w:val="13"/>
  </w:num>
  <w:num w:numId="6" w16cid:durableId="73475287">
    <w:abstractNumId w:val="5"/>
  </w:num>
  <w:num w:numId="7" w16cid:durableId="1842504390">
    <w:abstractNumId w:val="1"/>
  </w:num>
  <w:num w:numId="8" w16cid:durableId="1463186304">
    <w:abstractNumId w:val="12"/>
  </w:num>
  <w:num w:numId="9" w16cid:durableId="702052194">
    <w:abstractNumId w:val="8"/>
  </w:num>
  <w:num w:numId="10" w16cid:durableId="759526505">
    <w:abstractNumId w:val="7"/>
  </w:num>
  <w:num w:numId="11" w16cid:durableId="1927223720">
    <w:abstractNumId w:val="2"/>
  </w:num>
  <w:num w:numId="12" w16cid:durableId="490947451">
    <w:abstractNumId w:val="0"/>
  </w:num>
  <w:num w:numId="13" w16cid:durableId="1030035720">
    <w:abstractNumId w:val="14"/>
  </w:num>
  <w:num w:numId="14" w16cid:durableId="1962419362">
    <w:abstractNumId w:val="9"/>
  </w:num>
  <w:num w:numId="15" w16cid:durableId="21168997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130"/>
    <w:rsid w:val="0000579A"/>
    <w:rsid w:val="00005AD9"/>
    <w:rsid w:val="00012443"/>
    <w:rsid w:val="00014D89"/>
    <w:rsid w:val="00016E52"/>
    <w:rsid w:val="000232C6"/>
    <w:rsid w:val="000233DE"/>
    <w:rsid w:val="00031C27"/>
    <w:rsid w:val="00033436"/>
    <w:rsid w:val="00033BFE"/>
    <w:rsid w:val="00034CE2"/>
    <w:rsid w:val="000418EF"/>
    <w:rsid w:val="000449AA"/>
    <w:rsid w:val="00044B2E"/>
    <w:rsid w:val="000500E5"/>
    <w:rsid w:val="00054231"/>
    <w:rsid w:val="00055A26"/>
    <w:rsid w:val="00061AA2"/>
    <w:rsid w:val="00075DD5"/>
    <w:rsid w:val="00076A15"/>
    <w:rsid w:val="0007726E"/>
    <w:rsid w:val="00086EE6"/>
    <w:rsid w:val="00087E18"/>
    <w:rsid w:val="0009048F"/>
    <w:rsid w:val="00097E4E"/>
    <w:rsid w:val="000A074D"/>
    <w:rsid w:val="000A08AD"/>
    <w:rsid w:val="000A0B85"/>
    <w:rsid w:val="000A31BC"/>
    <w:rsid w:val="000A406E"/>
    <w:rsid w:val="000A42D4"/>
    <w:rsid w:val="000A6DD0"/>
    <w:rsid w:val="000A7A65"/>
    <w:rsid w:val="000B47BD"/>
    <w:rsid w:val="000B47D1"/>
    <w:rsid w:val="000B5E25"/>
    <w:rsid w:val="000C5C25"/>
    <w:rsid w:val="000D0048"/>
    <w:rsid w:val="000D3678"/>
    <w:rsid w:val="000D3B1F"/>
    <w:rsid w:val="000D63A3"/>
    <w:rsid w:val="000D756F"/>
    <w:rsid w:val="000D7920"/>
    <w:rsid w:val="000E3A37"/>
    <w:rsid w:val="000E739E"/>
    <w:rsid w:val="000F1F46"/>
    <w:rsid w:val="000F2E14"/>
    <w:rsid w:val="000F3C4D"/>
    <w:rsid w:val="000F52ED"/>
    <w:rsid w:val="0010289B"/>
    <w:rsid w:val="00106534"/>
    <w:rsid w:val="001072C3"/>
    <w:rsid w:val="00111B08"/>
    <w:rsid w:val="001162A5"/>
    <w:rsid w:val="0012190B"/>
    <w:rsid w:val="00121BBD"/>
    <w:rsid w:val="001223EB"/>
    <w:rsid w:val="00122A02"/>
    <w:rsid w:val="00124B21"/>
    <w:rsid w:val="00126734"/>
    <w:rsid w:val="001350D7"/>
    <w:rsid w:val="001359EE"/>
    <w:rsid w:val="001361AF"/>
    <w:rsid w:val="00137B66"/>
    <w:rsid w:val="001431FF"/>
    <w:rsid w:val="001439B6"/>
    <w:rsid w:val="001457DC"/>
    <w:rsid w:val="00150295"/>
    <w:rsid w:val="00156166"/>
    <w:rsid w:val="001577C0"/>
    <w:rsid w:val="0016372B"/>
    <w:rsid w:val="001642AB"/>
    <w:rsid w:val="00172A55"/>
    <w:rsid w:val="00177E59"/>
    <w:rsid w:val="00182212"/>
    <w:rsid w:val="001860D6"/>
    <w:rsid w:val="001923F1"/>
    <w:rsid w:val="00196B35"/>
    <w:rsid w:val="00197DEE"/>
    <w:rsid w:val="00197F12"/>
    <w:rsid w:val="001A07B3"/>
    <w:rsid w:val="001A1494"/>
    <w:rsid w:val="001A1734"/>
    <w:rsid w:val="001A534A"/>
    <w:rsid w:val="001A59E4"/>
    <w:rsid w:val="001A7C48"/>
    <w:rsid w:val="001B3226"/>
    <w:rsid w:val="001B4A9A"/>
    <w:rsid w:val="001C2296"/>
    <w:rsid w:val="001C25E9"/>
    <w:rsid w:val="001D21CC"/>
    <w:rsid w:val="001D2888"/>
    <w:rsid w:val="001D28C5"/>
    <w:rsid w:val="001D3E08"/>
    <w:rsid w:val="001D4161"/>
    <w:rsid w:val="001D417E"/>
    <w:rsid w:val="001D6B71"/>
    <w:rsid w:val="001E0FD5"/>
    <w:rsid w:val="001E47B8"/>
    <w:rsid w:val="001E5BE9"/>
    <w:rsid w:val="001E632F"/>
    <w:rsid w:val="001E78CF"/>
    <w:rsid w:val="00213322"/>
    <w:rsid w:val="0022142C"/>
    <w:rsid w:val="00223481"/>
    <w:rsid w:val="00224BA4"/>
    <w:rsid w:val="00225A10"/>
    <w:rsid w:val="00231605"/>
    <w:rsid w:val="00232F72"/>
    <w:rsid w:val="00237524"/>
    <w:rsid w:val="00237C1E"/>
    <w:rsid w:val="00241483"/>
    <w:rsid w:val="00242560"/>
    <w:rsid w:val="00243168"/>
    <w:rsid w:val="00243FEC"/>
    <w:rsid w:val="00246CA8"/>
    <w:rsid w:val="00257D4A"/>
    <w:rsid w:val="0026613F"/>
    <w:rsid w:val="00267E48"/>
    <w:rsid w:val="002700FD"/>
    <w:rsid w:val="00270D4B"/>
    <w:rsid w:val="00274853"/>
    <w:rsid w:val="002776F0"/>
    <w:rsid w:val="002778AE"/>
    <w:rsid w:val="002805FF"/>
    <w:rsid w:val="002811F2"/>
    <w:rsid w:val="0028303E"/>
    <w:rsid w:val="00296F63"/>
    <w:rsid w:val="002A1DD0"/>
    <w:rsid w:val="002A4694"/>
    <w:rsid w:val="002A53EF"/>
    <w:rsid w:val="002A5C30"/>
    <w:rsid w:val="002B54A0"/>
    <w:rsid w:val="002B5ED6"/>
    <w:rsid w:val="002C588E"/>
    <w:rsid w:val="002D1757"/>
    <w:rsid w:val="002D4083"/>
    <w:rsid w:val="002F45D2"/>
    <w:rsid w:val="002F5B86"/>
    <w:rsid w:val="00302A69"/>
    <w:rsid w:val="003043F2"/>
    <w:rsid w:val="003125A7"/>
    <w:rsid w:val="0031392A"/>
    <w:rsid w:val="00322BAB"/>
    <w:rsid w:val="003240D4"/>
    <w:rsid w:val="003327F1"/>
    <w:rsid w:val="00333F19"/>
    <w:rsid w:val="00335008"/>
    <w:rsid w:val="00337D28"/>
    <w:rsid w:val="0034201E"/>
    <w:rsid w:val="00343749"/>
    <w:rsid w:val="0034685B"/>
    <w:rsid w:val="003509A8"/>
    <w:rsid w:val="003547AD"/>
    <w:rsid w:val="00356886"/>
    <w:rsid w:val="0037481E"/>
    <w:rsid w:val="00376EB8"/>
    <w:rsid w:val="0038106C"/>
    <w:rsid w:val="00381BE0"/>
    <w:rsid w:val="00383C64"/>
    <w:rsid w:val="0038408E"/>
    <w:rsid w:val="00386A26"/>
    <w:rsid w:val="003870B1"/>
    <w:rsid w:val="00392946"/>
    <w:rsid w:val="00395063"/>
    <w:rsid w:val="003A0F56"/>
    <w:rsid w:val="003A2A6E"/>
    <w:rsid w:val="003A57F3"/>
    <w:rsid w:val="003A6536"/>
    <w:rsid w:val="003B45C9"/>
    <w:rsid w:val="003B73BF"/>
    <w:rsid w:val="003B7425"/>
    <w:rsid w:val="003B7D51"/>
    <w:rsid w:val="003C2A1B"/>
    <w:rsid w:val="003C6178"/>
    <w:rsid w:val="003D3908"/>
    <w:rsid w:val="003D4A56"/>
    <w:rsid w:val="003D5B5C"/>
    <w:rsid w:val="003D6DDD"/>
    <w:rsid w:val="003E499D"/>
    <w:rsid w:val="003E54C2"/>
    <w:rsid w:val="003F0EFB"/>
    <w:rsid w:val="003F2C85"/>
    <w:rsid w:val="003F364B"/>
    <w:rsid w:val="003F45DE"/>
    <w:rsid w:val="003F4CB9"/>
    <w:rsid w:val="0040206A"/>
    <w:rsid w:val="00404FE5"/>
    <w:rsid w:val="00410A44"/>
    <w:rsid w:val="0041122A"/>
    <w:rsid w:val="0041263B"/>
    <w:rsid w:val="00414A63"/>
    <w:rsid w:val="0042776B"/>
    <w:rsid w:val="00427A98"/>
    <w:rsid w:val="00437353"/>
    <w:rsid w:val="00437559"/>
    <w:rsid w:val="00441E7A"/>
    <w:rsid w:val="0044314B"/>
    <w:rsid w:val="0044324C"/>
    <w:rsid w:val="00447D15"/>
    <w:rsid w:val="00447F7E"/>
    <w:rsid w:val="004501CA"/>
    <w:rsid w:val="00451883"/>
    <w:rsid w:val="004546BC"/>
    <w:rsid w:val="0045550D"/>
    <w:rsid w:val="00457835"/>
    <w:rsid w:val="004622E7"/>
    <w:rsid w:val="00471DB3"/>
    <w:rsid w:val="00474E83"/>
    <w:rsid w:val="00480FFB"/>
    <w:rsid w:val="00484E25"/>
    <w:rsid w:val="00485E91"/>
    <w:rsid w:val="004879B2"/>
    <w:rsid w:val="004879FB"/>
    <w:rsid w:val="00490F5D"/>
    <w:rsid w:val="00494CF8"/>
    <w:rsid w:val="004954FE"/>
    <w:rsid w:val="004A09C9"/>
    <w:rsid w:val="004A1747"/>
    <w:rsid w:val="004A2218"/>
    <w:rsid w:val="004A513D"/>
    <w:rsid w:val="004B482B"/>
    <w:rsid w:val="004B4F48"/>
    <w:rsid w:val="004B6520"/>
    <w:rsid w:val="004D20F0"/>
    <w:rsid w:val="004D6E92"/>
    <w:rsid w:val="004E07A1"/>
    <w:rsid w:val="004E5CE5"/>
    <w:rsid w:val="004E60DA"/>
    <w:rsid w:val="004E75B5"/>
    <w:rsid w:val="004E75E5"/>
    <w:rsid w:val="004F5CF3"/>
    <w:rsid w:val="004F79A1"/>
    <w:rsid w:val="004F7F4F"/>
    <w:rsid w:val="00501C31"/>
    <w:rsid w:val="00506098"/>
    <w:rsid w:val="005119F8"/>
    <w:rsid w:val="00512003"/>
    <w:rsid w:val="005122D9"/>
    <w:rsid w:val="00516D98"/>
    <w:rsid w:val="00523916"/>
    <w:rsid w:val="005301D6"/>
    <w:rsid w:val="00531024"/>
    <w:rsid w:val="00532CC2"/>
    <w:rsid w:val="005457DD"/>
    <w:rsid w:val="00546481"/>
    <w:rsid w:val="005543A4"/>
    <w:rsid w:val="00557518"/>
    <w:rsid w:val="00562C70"/>
    <w:rsid w:val="0056386C"/>
    <w:rsid w:val="005641C1"/>
    <w:rsid w:val="005648BB"/>
    <w:rsid w:val="00571E8A"/>
    <w:rsid w:val="0058138C"/>
    <w:rsid w:val="00582C83"/>
    <w:rsid w:val="00585C86"/>
    <w:rsid w:val="00586DAE"/>
    <w:rsid w:val="00590287"/>
    <w:rsid w:val="0059087E"/>
    <w:rsid w:val="0059437E"/>
    <w:rsid w:val="005A0EBF"/>
    <w:rsid w:val="005A2063"/>
    <w:rsid w:val="005A2300"/>
    <w:rsid w:val="005A26F4"/>
    <w:rsid w:val="005A3E1C"/>
    <w:rsid w:val="005A4068"/>
    <w:rsid w:val="005B115B"/>
    <w:rsid w:val="005B3103"/>
    <w:rsid w:val="005B6068"/>
    <w:rsid w:val="005C333B"/>
    <w:rsid w:val="005C5C7A"/>
    <w:rsid w:val="005C600A"/>
    <w:rsid w:val="005D14CB"/>
    <w:rsid w:val="005D1903"/>
    <w:rsid w:val="005E0AF2"/>
    <w:rsid w:val="005E3235"/>
    <w:rsid w:val="005F2969"/>
    <w:rsid w:val="005F47C5"/>
    <w:rsid w:val="005F506D"/>
    <w:rsid w:val="005F6237"/>
    <w:rsid w:val="00600A6B"/>
    <w:rsid w:val="00602EF3"/>
    <w:rsid w:val="00607ED1"/>
    <w:rsid w:val="006106DB"/>
    <w:rsid w:val="00614B64"/>
    <w:rsid w:val="00626EFE"/>
    <w:rsid w:val="00627F9A"/>
    <w:rsid w:val="0063076A"/>
    <w:rsid w:val="00634DD1"/>
    <w:rsid w:val="006357D3"/>
    <w:rsid w:val="0063718D"/>
    <w:rsid w:val="00637D0C"/>
    <w:rsid w:val="00641961"/>
    <w:rsid w:val="006424BC"/>
    <w:rsid w:val="00642D76"/>
    <w:rsid w:val="006438DA"/>
    <w:rsid w:val="00646B74"/>
    <w:rsid w:val="006507FB"/>
    <w:rsid w:val="00650913"/>
    <w:rsid w:val="00654ADD"/>
    <w:rsid w:val="00654BE5"/>
    <w:rsid w:val="00655B29"/>
    <w:rsid w:val="00660EC8"/>
    <w:rsid w:val="0066377B"/>
    <w:rsid w:val="00663F6A"/>
    <w:rsid w:val="00667745"/>
    <w:rsid w:val="00681ED3"/>
    <w:rsid w:val="00684421"/>
    <w:rsid w:val="00686E6E"/>
    <w:rsid w:val="00687B78"/>
    <w:rsid w:val="0069231B"/>
    <w:rsid w:val="00693D8E"/>
    <w:rsid w:val="00694453"/>
    <w:rsid w:val="00696173"/>
    <w:rsid w:val="006A0A6D"/>
    <w:rsid w:val="006B2331"/>
    <w:rsid w:val="006B2A8B"/>
    <w:rsid w:val="006B2EC4"/>
    <w:rsid w:val="006B4092"/>
    <w:rsid w:val="006B47FD"/>
    <w:rsid w:val="006B71FD"/>
    <w:rsid w:val="006D290C"/>
    <w:rsid w:val="006D2ABC"/>
    <w:rsid w:val="006D41B9"/>
    <w:rsid w:val="006E0910"/>
    <w:rsid w:val="006E0948"/>
    <w:rsid w:val="006E1CAD"/>
    <w:rsid w:val="006E3944"/>
    <w:rsid w:val="006F266B"/>
    <w:rsid w:val="006F2BFE"/>
    <w:rsid w:val="0070006E"/>
    <w:rsid w:val="00713AB4"/>
    <w:rsid w:val="0071732B"/>
    <w:rsid w:val="0071782E"/>
    <w:rsid w:val="0072123C"/>
    <w:rsid w:val="00725B1F"/>
    <w:rsid w:val="00730381"/>
    <w:rsid w:val="00730B02"/>
    <w:rsid w:val="00730C60"/>
    <w:rsid w:val="00731FA0"/>
    <w:rsid w:val="00734DFF"/>
    <w:rsid w:val="00735AFC"/>
    <w:rsid w:val="00736845"/>
    <w:rsid w:val="007375B5"/>
    <w:rsid w:val="007407C1"/>
    <w:rsid w:val="007410B0"/>
    <w:rsid w:val="00745E62"/>
    <w:rsid w:val="007462A6"/>
    <w:rsid w:val="0075285C"/>
    <w:rsid w:val="0075319D"/>
    <w:rsid w:val="00755DE0"/>
    <w:rsid w:val="00765AD0"/>
    <w:rsid w:val="00767DD6"/>
    <w:rsid w:val="00771F99"/>
    <w:rsid w:val="00772E54"/>
    <w:rsid w:val="00780932"/>
    <w:rsid w:val="007861CB"/>
    <w:rsid w:val="00786FB4"/>
    <w:rsid w:val="00787D95"/>
    <w:rsid w:val="00790EAC"/>
    <w:rsid w:val="00791CF4"/>
    <w:rsid w:val="0079568C"/>
    <w:rsid w:val="0079654E"/>
    <w:rsid w:val="00796A9D"/>
    <w:rsid w:val="00796CD1"/>
    <w:rsid w:val="007A77B3"/>
    <w:rsid w:val="007B5974"/>
    <w:rsid w:val="007B5FD2"/>
    <w:rsid w:val="007C30B5"/>
    <w:rsid w:val="007C5229"/>
    <w:rsid w:val="007C785F"/>
    <w:rsid w:val="007D4B2F"/>
    <w:rsid w:val="007E0E93"/>
    <w:rsid w:val="007E32B8"/>
    <w:rsid w:val="007E7D2C"/>
    <w:rsid w:val="007F1BE6"/>
    <w:rsid w:val="007F22B9"/>
    <w:rsid w:val="007F479C"/>
    <w:rsid w:val="008045D1"/>
    <w:rsid w:val="00810DF3"/>
    <w:rsid w:val="00815390"/>
    <w:rsid w:val="00815721"/>
    <w:rsid w:val="00821B12"/>
    <w:rsid w:val="00827EE2"/>
    <w:rsid w:val="00830DB9"/>
    <w:rsid w:val="00831235"/>
    <w:rsid w:val="00831D32"/>
    <w:rsid w:val="0083318C"/>
    <w:rsid w:val="00835020"/>
    <w:rsid w:val="00840B98"/>
    <w:rsid w:val="00841AB8"/>
    <w:rsid w:val="00842A78"/>
    <w:rsid w:val="00844743"/>
    <w:rsid w:val="00844B48"/>
    <w:rsid w:val="008465B3"/>
    <w:rsid w:val="00850F12"/>
    <w:rsid w:val="00852448"/>
    <w:rsid w:val="00856941"/>
    <w:rsid w:val="00861F9E"/>
    <w:rsid w:val="0086259A"/>
    <w:rsid w:val="00862620"/>
    <w:rsid w:val="00862831"/>
    <w:rsid w:val="008639D6"/>
    <w:rsid w:val="00863F8C"/>
    <w:rsid w:val="008656D0"/>
    <w:rsid w:val="00866C35"/>
    <w:rsid w:val="00867B48"/>
    <w:rsid w:val="00873541"/>
    <w:rsid w:val="008737CE"/>
    <w:rsid w:val="00874E72"/>
    <w:rsid w:val="008765C5"/>
    <w:rsid w:val="00887701"/>
    <w:rsid w:val="00891AC1"/>
    <w:rsid w:val="008953A6"/>
    <w:rsid w:val="0089728B"/>
    <w:rsid w:val="00897456"/>
    <w:rsid w:val="008B1C18"/>
    <w:rsid w:val="008B613C"/>
    <w:rsid w:val="008C11E5"/>
    <w:rsid w:val="008C6066"/>
    <w:rsid w:val="008D3068"/>
    <w:rsid w:val="008D4CF6"/>
    <w:rsid w:val="008D5C6E"/>
    <w:rsid w:val="008E49CF"/>
    <w:rsid w:val="008F095B"/>
    <w:rsid w:val="008F0FFE"/>
    <w:rsid w:val="00906254"/>
    <w:rsid w:val="0090650E"/>
    <w:rsid w:val="0091037F"/>
    <w:rsid w:val="00915620"/>
    <w:rsid w:val="009261BE"/>
    <w:rsid w:val="0092631B"/>
    <w:rsid w:val="00927EEC"/>
    <w:rsid w:val="009350D2"/>
    <w:rsid w:val="00936965"/>
    <w:rsid w:val="009410B5"/>
    <w:rsid w:val="00942EB6"/>
    <w:rsid w:val="00945626"/>
    <w:rsid w:val="00947124"/>
    <w:rsid w:val="00951F02"/>
    <w:rsid w:val="00964A6E"/>
    <w:rsid w:val="00966D0F"/>
    <w:rsid w:val="0097017A"/>
    <w:rsid w:val="00971DD9"/>
    <w:rsid w:val="00973196"/>
    <w:rsid w:val="00975577"/>
    <w:rsid w:val="00980656"/>
    <w:rsid w:val="00980FE5"/>
    <w:rsid w:val="00981AD2"/>
    <w:rsid w:val="0098584C"/>
    <w:rsid w:val="009861C2"/>
    <w:rsid w:val="00992BAD"/>
    <w:rsid w:val="00993153"/>
    <w:rsid w:val="00994792"/>
    <w:rsid w:val="009A0345"/>
    <w:rsid w:val="009A2C62"/>
    <w:rsid w:val="009A7D15"/>
    <w:rsid w:val="009B21BE"/>
    <w:rsid w:val="009B2BA1"/>
    <w:rsid w:val="009B2DCC"/>
    <w:rsid w:val="009B793C"/>
    <w:rsid w:val="009C3E08"/>
    <w:rsid w:val="009C492C"/>
    <w:rsid w:val="009C662E"/>
    <w:rsid w:val="009E7DD8"/>
    <w:rsid w:val="009F4ED5"/>
    <w:rsid w:val="00A024F7"/>
    <w:rsid w:val="00A05A94"/>
    <w:rsid w:val="00A129C1"/>
    <w:rsid w:val="00A13007"/>
    <w:rsid w:val="00A15C68"/>
    <w:rsid w:val="00A170D0"/>
    <w:rsid w:val="00A17811"/>
    <w:rsid w:val="00A20322"/>
    <w:rsid w:val="00A2165D"/>
    <w:rsid w:val="00A259EE"/>
    <w:rsid w:val="00A27CE5"/>
    <w:rsid w:val="00A36340"/>
    <w:rsid w:val="00A43B44"/>
    <w:rsid w:val="00A4666E"/>
    <w:rsid w:val="00A476D7"/>
    <w:rsid w:val="00A5023E"/>
    <w:rsid w:val="00A512B2"/>
    <w:rsid w:val="00A512FB"/>
    <w:rsid w:val="00A52CBE"/>
    <w:rsid w:val="00A5616C"/>
    <w:rsid w:val="00A56876"/>
    <w:rsid w:val="00A568E8"/>
    <w:rsid w:val="00A57730"/>
    <w:rsid w:val="00A62D70"/>
    <w:rsid w:val="00A67D4C"/>
    <w:rsid w:val="00A70A70"/>
    <w:rsid w:val="00A710A1"/>
    <w:rsid w:val="00A7576B"/>
    <w:rsid w:val="00A80ACC"/>
    <w:rsid w:val="00A80D81"/>
    <w:rsid w:val="00A8141E"/>
    <w:rsid w:val="00A81B96"/>
    <w:rsid w:val="00A81E60"/>
    <w:rsid w:val="00A82568"/>
    <w:rsid w:val="00A864AB"/>
    <w:rsid w:val="00A913EF"/>
    <w:rsid w:val="00A91420"/>
    <w:rsid w:val="00A928CF"/>
    <w:rsid w:val="00A9344E"/>
    <w:rsid w:val="00AA03C2"/>
    <w:rsid w:val="00AA4784"/>
    <w:rsid w:val="00AB43EA"/>
    <w:rsid w:val="00AB4963"/>
    <w:rsid w:val="00AB75A0"/>
    <w:rsid w:val="00AB79C2"/>
    <w:rsid w:val="00AC1A17"/>
    <w:rsid w:val="00AC347A"/>
    <w:rsid w:val="00AC6AAF"/>
    <w:rsid w:val="00AE04E3"/>
    <w:rsid w:val="00AE15C1"/>
    <w:rsid w:val="00AE1E82"/>
    <w:rsid w:val="00AE2965"/>
    <w:rsid w:val="00AE5B1F"/>
    <w:rsid w:val="00AF0085"/>
    <w:rsid w:val="00AF2CB1"/>
    <w:rsid w:val="00B001FF"/>
    <w:rsid w:val="00B13339"/>
    <w:rsid w:val="00B1758B"/>
    <w:rsid w:val="00B240DE"/>
    <w:rsid w:val="00B37289"/>
    <w:rsid w:val="00B37CDC"/>
    <w:rsid w:val="00B41ECC"/>
    <w:rsid w:val="00B44CCD"/>
    <w:rsid w:val="00B6018A"/>
    <w:rsid w:val="00B60EE5"/>
    <w:rsid w:val="00B61434"/>
    <w:rsid w:val="00B62E01"/>
    <w:rsid w:val="00B71E7B"/>
    <w:rsid w:val="00B75837"/>
    <w:rsid w:val="00B76474"/>
    <w:rsid w:val="00B76D44"/>
    <w:rsid w:val="00B80521"/>
    <w:rsid w:val="00B81AFB"/>
    <w:rsid w:val="00B82BF6"/>
    <w:rsid w:val="00B855AE"/>
    <w:rsid w:val="00B86182"/>
    <w:rsid w:val="00B93A88"/>
    <w:rsid w:val="00BA02E3"/>
    <w:rsid w:val="00BA1389"/>
    <w:rsid w:val="00BA7A6C"/>
    <w:rsid w:val="00BB0B19"/>
    <w:rsid w:val="00BB118F"/>
    <w:rsid w:val="00BB4A2F"/>
    <w:rsid w:val="00BB5D22"/>
    <w:rsid w:val="00BC2E2B"/>
    <w:rsid w:val="00BC4280"/>
    <w:rsid w:val="00BC6637"/>
    <w:rsid w:val="00BC7312"/>
    <w:rsid w:val="00BC737C"/>
    <w:rsid w:val="00BD20C0"/>
    <w:rsid w:val="00BD360C"/>
    <w:rsid w:val="00BE036D"/>
    <w:rsid w:val="00BE176B"/>
    <w:rsid w:val="00BE2E59"/>
    <w:rsid w:val="00BE378D"/>
    <w:rsid w:val="00BF236A"/>
    <w:rsid w:val="00BF796E"/>
    <w:rsid w:val="00C01D4D"/>
    <w:rsid w:val="00C02D05"/>
    <w:rsid w:val="00C05AE9"/>
    <w:rsid w:val="00C05CB7"/>
    <w:rsid w:val="00C062E4"/>
    <w:rsid w:val="00C117A7"/>
    <w:rsid w:val="00C12871"/>
    <w:rsid w:val="00C1401E"/>
    <w:rsid w:val="00C22507"/>
    <w:rsid w:val="00C230D3"/>
    <w:rsid w:val="00C23E9B"/>
    <w:rsid w:val="00C2441D"/>
    <w:rsid w:val="00C31FC1"/>
    <w:rsid w:val="00C336DA"/>
    <w:rsid w:val="00C37F05"/>
    <w:rsid w:val="00C40428"/>
    <w:rsid w:val="00C405CB"/>
    <w:rsid w:val="00C620A9"/>
    <w:rsid w:val="00C667B6"/>
    <w:rsid w:val="00C758A8"/>
    <w:rsid w:val="00C82628"/>
    <w:rsid w:val="00C87D3E"/>
    <w:rsid w:val="00C87DE9"/>
    <w:rsid w:val="00C9485E"/>
    <w:rsid w:val="00C94E91"/>
    <w:rsid w:val="00CA01EF"/>
    <w:rsid w:val="00CA4C82"/>
    <w:rsid w:val="00CB2196"/>
    <w:rsid w:val="00CB3B4F"/>
    <w:rsid w:val="00CB4F46"/>
    <w:rsid w:val="00CB652E"/>
    <w:rsid w:val="00CC2DD2"/>
    <w:rsid w:val="00CD15FF"/>
    <w:rsid w:val="00CD1E71"/>
    <w:rsid w:val="00CD586D"/>
    <w:rsid w:val="00CD715D"/>
    <w:rsid w:val="00CE161F"/>
    <w:rsid w:val="00CE17F1"/>
    <w:rsid w:val="00CE5E7D"/>
    <w:rsid w:val="00CF42AC"/>
    <w:rsid w:val="00CF518A"/>
    <w:rsid w:val="00CF563D"/>
    <w:rsid w:val="00CF627F"/>
    <w:rsid w:val="00CF6701"/>
    <w:rsid w:val="00D00BBC"/>
    <w:rsid w:val="00D01CB6"/>
    <w:rsid w:val="00D05747"/>
    <w:rsid w:val="00D12C15"/>
    <w:rsid w:val="00D12EEA"/>
    <w:rsid w:val="00D22F49"/>
    <w:rsid w:val="00D232B9"/>
    <w:rsid w:val="00D27A8E"/>
    <w:rsid w:val="00D337FA"/>
    <w:rsid w:val="00D370E3"/>
    <w:rsid w:val="00D37849"/>
    <w:rsid w:val="00D37DE5"/>
    <w:rsid w:val="00D37F2C"/>
    <w:rsid w:val="00D462CF"/>
    <w:rsid w:val="00D54707"/>
    <w:rsid w:val="00D54A15"/>
    <w:rsid w:val="00D55031"/>
    <w:rsid w:val="00D6262B"/>
    <w:rsid w:val="00D6455C"/>
    <w:rsid w:val="00D65791"/>
    <w:rsid w:val="00D66B7E"/>
    <w:rsid w:val="00D70454"/>
    <w:rsid w:val="00D7230B"/>
    <w:rsid w:val="00D759CF"/>
    <w:rsid w:val="00D76502"/>
    <w:rsid w:val="00D77647"/>
    <w:rsid w:val="00D8771C"/>
    <w:rsid w:val="00D92A31"/>
    <w:rsid w:val="00D97263"/>
    <w:rsid w:val="00DA1A3D"/>
    <w:rsid w:val="00DA1DBB"/>
    <w:rsid w:val="00DA2B01"/>
    <w:rsid w:val="00DA2B64"/>
    <w:rsid w:val="00DA3B8D"/>
    <w:rsid w:val="00DA62F3"/>
    <w:rsid w:val="00DB101A"/>
    <w:rsid w:val="00DB1DFF"/>
    <w:rsid w:val="00DB4C08"/>
    <w:rsid w:val="00DB4D8B"/>
    <w:rsid w:val="00DC16B1"/>
    <w:rsid w:val="00DC7186"/>
    <w:rsid w:val="00DD03BB"/>
    <w:rsid w:val="00DD0921"/>
    <w:rsid w:val="00DD125A"/>
    <w:rsid w:val="00DD3ABF"/>
    <w:rsid w:val="00DE0B0D"/>
    <w:rsid w:val="00DE1BB1"/>
    <w:rsid w:val="00DE1CE9"/>
    <w:rsid w:val="00DE2C15"/>
    <w:rsid w:val="00DE399D"/>
    <w:rsid w:val="00DE56BA"/>
    <w:rsid w:val="00DF437E"/>
    <w:rsid w:val="00DF5409"/>
    <w:rsid w:val="00DF6EDD"/>
    <w:rsid w:val="00DF74CC"/>
    <w:rsid w:val="00E027C8"/>
    <w:rsid w:val="00E07C59"/>
    <w:rsid w:val="00E10225"/>
    <w:rsid w:val="00E112F2"/>
    <w:rsid w:val="00E12DB2"/>
    <w:rsid w:val="00E141B6"/>
    <w:rsid w:val="00E17411"/>
    <w:rsid w:val="00E21095"/>
    <w:rsid w:val="00E22F97"/>
    <w:rsid w:val="00E248B1"/>
    <w:rsid w:val="00E25501"/>
    <w:rsid w:val="00E25E40"/>
    <w:rsid w:val="00E40C97"/>
    <w:rsid w:val="00E565D9"/>
    <w:rsid w:val="00E664D0"/>
    <w:rsid w:val="00E70D1D"/>
    <w:rsid w:val="00E716EF"/>
    <w:rsid w:val="00E72CD6"/>
    <w:rsid w:val="00E7752A"/>
    <w:rsid w:val="00E81CAB"/>
    <w:rsid w:val="00E841E6"/>
    <w:rsid w:val="00E84CAE"/>
    <w:rsid w:val="00E92F98"/>
    <w:rsid w:val="00E9705E"/>
    <w:rsid w:val="00EA1702"/>
    <w:rsid w:val="00EA6BE0"/>
    <w:rsid w:val="00EB0937"/>
    <w:rsid w:val="00EB0D12"/>
    <w:rsid w:val="00EB2FE6"/>
    <w:rsid w:val="00EB448C"/>
    <w:rsid w:val="00EB6A2A"/>
    <w:rsid w:val="00ED1197"/>
    <w:rsid w:val="00ED5001"/>
    <w:rsid w:val="00EE030C"/>
    <w:rsid w:val="00EE6B73"/>
    <w:rsid w:val="00EF3727"/>
    <w:rsid w:val="00EF7541"/>
    <w:rsid w:val="00EF7EF1"/>
    <w:rsid w:val="00F10B0A"/>
    <w:rsid w:val="00F10DF5"/>
    <w:rsid w:val="00F161E7"/>
    <w:rsid w:val="00F30480"/>
    <w:rsid w:val="00F41017"/>
    <w:rsid w:val="00F47C25"/>
    <w:rsid w:val="00F54512"/>
    <w:rsid w:val="00F606B3"/>
    <w:rsid w:val="00F64788"/>
    <w:rsid w:val="00F72886"/>
    <w:rsid w:val="00F77E78"/>
    <w:rsid w:val="00F80F8A"/>
    <w:rsid w:val="00F81DEA"/>
    <w:rsid w:val="00F8324B"/>
    <w:rsid w:val="00F834D4"/>
    <w:rsid w:val="00F876BE"/>
    <w:rsid w:val="00F91D74"/>
    <w:rsid w:val="00FA1E06"/>
    <w:rsid w:val="00FA40F0"/>
    <w:rsid w:val="00FA41D8"/>
    <w:rsid w:val="00FA7A6B"/>
    <w:rsid w:val="00FB230B"/>
    <w:rsid w:val="00FB4735"/>
    <w:rsid w:val="00FD2641"/>
    <w:rsid w:val="00FD3F36"/>
    <w:rsid w:val="00FD5E20"/>
    <w:rsid w:val="00FD7330"/>
    <w:rsid w:val="00FE201F"/>
    <w:rsid w:val="00FE45E5"/>
    <w:rsid w:val="00FE506C"/>
    <w:rsid w:val="00FE778D"/>
    <w:rsid w:val="00FF145B"/>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4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 w:type="paragraph" w:customStyle="1" w:styleId="norm">
    <w:name w:val="norm"/>
    <w:basedOn w:val="Normal"/>
    <w:rsid w:val="00947124"/>
    <w:pPr>
      <w:spacing w:before="100" w:beforeAutospacing="1" w:after="100" w:afterAutospacing="1"/>
    </w:pPr>
  </w:style>
  <w:style w:type="character" w:customStyle="1" w:styleId="no-parag">
    <w:name w:val="no-parag"/>
    <w:basedOn w:val="DefaultParagraphFont"/>
    <w:rsid w:val="00947124"/>
  </w:style>
  <w:style w:type="character" w:customStyle="1" w:styleId="Heading1Char">
    <w:name w:val="Heading 1 Char"/>
    <w:basedOn w:val="DefaultParagraphFont"/>
    <w:link w:val="Heading1"/>
    <w:uiPriority w:val="9"/>
    <w:rsid w:val="00E174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964352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05217549">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297569882">
      <w:bodyDiv w:val="1"/>
      <w:marLeft w:val="0"/>
      <w:marRight w:val="0"/>
      <w:marTop w:val="0"/>
      <w:marBottom w:val="0"/>
      <w:divBdr>
        <w:top w:val="none" w:sz="0" w:space="0" w:color="auto"/>
        <w:left w:val="none" w:sz="0" w:space="0" w:color="auto"/>
        <w:bottom w:val="none" w:sz="0" w:space="0" w:color="auto"/>
        <w:right w:val="none" w:sz="0" w:space="0" w:color="auto"/>
      </w:divBdr>
      <w:divsChild>
        <w:div w:id="1431119401">
          <w:marLeft w:val="0"/>
          <w:marRight w:val="0"/>
          <w:marTop w:val="0"/>
          <w:marBottom w:val="0"/>
          <w:divBdr>
            <w:top w:val="none" w:sz="0" w:space="0" w:color="auto"/>
            <w:left w:val="none" w:sz="0" w:space="0" w:color="auto"/>
            <w:bottom w:val="none" w:sz="0" w:space="0" w:color="auto"/>
            <w:right w:val="none" w:sz="0" w:space="0" w:color="auto"/>
          </w:divBdr>
          <w:divsChild>
            <w:div w:id="1935740871">
              <w:marLeft w:val="0"/>
              <w:marRight w:val="0"/>
              <w:marTop w:val="0"/>
              <w:marBottom w:val="0"/>
              <w:divBdr>
                <w:top w:val="none" w:sz="0" w:space="0" w:color="auto"/>
                <w:left w:val="none" w:sz="0" w:space="0" w:color="auto"/>
                <w:bottom w:val="none" w:sz="0" w:space="0" w:color="auto"/>
                <w:right w:val="none" w:sz="0" w:space="0" w:color="auto"/>
              </w:divBdr>
              <w:divsChild>
                <w:div w:id="1885437876">
                  <w:marLeft w:val="0"/>
                  <w:marRight w:val="0"/>
                  <w:marTop w:val="0"/>
                  <w:marBottom w:val="0"/>
                  <w:divBdr>
                    <w:top w:val="none" w:sz="0" w:space="0" w:color="auto"/>
                    <w:left w:val="none" w:sz="0" w:space="0" w:color="auto"/>
                    <w:bottom w:val="none" w:sz="0" w:space="0" w:color="auto"/>
                    <w:right w:val="none" w:sz="0" w:space="0" w:color="auto"/>
                  </w:divBdr>
                  <w:divsChild>
                    <w:div w:id="1023552376">
                      <w:marLeft w:val="0"/>
                      <w:marRight w:val="0"/>
                      <w:marTop w:val="120"/>
                      <w:marBottom w:val="0"/>
                      <w:divBdr>
                        <w:top w:val="none" w:sz="0" w:space="0" w:color="auto"/>
                        <w:left w:val="none" w:sz="0" w:space="0" w:color="auto"/>
                        <w:bottom w:val="none" w:sz="0" w:space="0" w:color="auto"/>
                        <w:right w:val="none" w:sz="0" w:space="0" w:color="auto"/>
                      </w:divBdr>
                    </w:div>
                    <w:div w:id="773476954">
                      <w:marLeft w:val="0"/>
                      <w:marRight w:val="0"/>
                      <w:marTop w:val="0"/>
                      <w:marBottom w:val="0"/>
                      <w:divBdr>
                        <w:top w:val="none" w:sz="0" w:space="0" w:color="auto"/>
                        <w:left w:val="none" w:sz="0" w:space="0" w:color="auto"/>
                        <w:bottom w:val="none" w:sz="0" w:space="0" w:color="auto"/>
                        <w:right w:val="none" w:sz="0" w:space="0" w:color="auto"/>
                      </w:divBdr>
                    </w:div>
                  </w:divsChild>
                </w:div>
                <w:div w:id="1212234678">
                  <w:marLeft w:val="0"/>
                  <w:marRight w:val="0"/>
                  <w:marTop w:val="0"/>
                  <w:marBottom w:val="0"/>
                  <w:divBdr>
                    <w:top w:val="none" w:sz="0" w:space="0" w:color="auto"/>
                    <w:left w:val="none" w:sz="0" w:space="0" w:color="auto"/>
                    <w:bottom w:val="none" w:sz="0" w:space="0" w:color="auto"/>
                    <w:right w:val="none" w:sz="0" w:space="0" w:color="auto"/>
                  </w:divBdr>
                  <w:divsChild>
                    <w:div w:id="1545408406">
                      <w:marLeft w:val="0"/>
                      <w:marRight w:val="0"/>
                      <w:marTop w:val="120"/>
                      <w:marBottom w:val="0"/>
                      <w:divBdr>
                        <w:top w:val="none" w:sz="0" w:space="0" w:color="auto"/>
                        <w:left w:val="none" w:sz="0" w:space="0" w:color="auto"/>
                        <w:bottom w:val="none" w:sz="0" w:space="0" w:color="auto"/>
                        <w:right w:val="none" w:sz="0" w:space="0" w:color="auto"/>
                      </w:divBdr>
                    </w:div>
                    <w:div w:id="1846439472">
                      <w:marLeft w:val="0"/>
                      <w:marRight w:val="0"/>
                      <w:marTop w:val="0"/>
                      <w:marBottom w:val="0"/>
                      <w:divBdr>
                        <w:top w:val="none" w:sz="0" w:space="0" w:color="auto"/>
                        <w:left w:val="none" w:sz="0" w:space="0" w:color="auto"/>
                        <w:bottom w:val="none" w:sz="0" w:space="0" w:color="auto"/>
                        <w:right w:val="none" w:sz="0" w:space="0" w:color="auto"/>
                      </w:divBdr>
                    </w:div>
                  </w:divsChild>
                </w:div>
                <w:div w:id="476072678">
                  <w:marLeft w:val="0"/>
                  <w:marRight w:val="0"/>
                  <w:marTop w:val="0"/>
                  <w:marBottom w:val="0"/>
                  <w:divBdr>
                    <w:top w:val="none" w:sz="0" w:space="0" w:color="auto"/>
                    <w:left w:val="none" w:sz="0" w:space="0" w:color="auto"/>
                    <w:bottom w:val="none" w:sz="0" w:space="0" w:color="auto"/>
                    <w:right w:val="none" w:sz="0" w:space="0" w:color="auto"/>
                  </w:divBdr>
                  <w:divsChild>
                    <w:div w:id="1111703485">
                      <w:marLeft w:val="0"/>
                      <w:marRight w:val="0"/>
                      <w:marTop w:val="120"/>
                      <w:marBottom w:val="0"/>
                      <w:divBdr>
                        <w:top w:val="none" w:sz="0" w:space="0" w:color="auto"/>
                        <w:left w:val="none" w:sz="0" w:space="0" w:color="auto"/>
                        <w:bottom w:val="none" w:sz="0" w:space="0" w:color="auto"/>
                        <w:right w:val="none" w:sz="0" w:space="0" w:color="auto"/>
                      </w:divBdr>
                    </w:div>
                    <w:div w:id="1402869345">
                      <w:marLeft w:val="0"/>
                      <w:marRight w:val="0"/>
                      <w:marTop w:val="0"/>
                      <w:marBottom w:val="0"/>
                      <w:divBdr>
                        <w:top w:val="none" w:sz="0" w:space="0" w:color="auto"/>
                        <w:left w:val="none" w:sz="0" w:space="0" w:color="auto"/>
                        <w:bottom w:val="none" w:sz="0" w:space="0" w:color="auto"/>
                        <w:right w:val="none" w:sz="0" w:space="0" w:color="auto"/>
                      </w:divBdr>
                    </w:div>
                  </w:divsChild>
                </w:div>
                <w:div w:id="1491096945">
                  <w:marLeft w:val="0"/>
                  <w:marRight w:val="0"/>
                  <w:marTop w:val="0"/>
                  <w:marBottom w:val="0"/>
                  <w:divBdr>
                    <w:top w:val="none" w:sz="0" w:space="0" w:color="auto"/>
                    <w:left w:val="none" w:sz="0" w:space="0" w:color="auto"/>
                    <w:bottom w:val="none" w:sz="0" w:space="0" w:color="auto"/>
                    <w:right w:val="none" w:sz="0" w:space="0" w:color="auto"/>
                  </w:divBdr>
                  <w:divsChild>
                    <w:div w:id="2060083399">
                      <w:marLeft w:val="0"/>
                      <w:marRight w:val="0"/>
                      <w:marTop w:val="120"/>
                      <w:marBottom w:val="0"/>
                      <w:divBdr>
                        <w:top w:val="none" w:sz="0" w:space="0" w:color="auto"/>
                        <w:left w:val="none" w:sz="0" w:space="0" w:color="auto"/>
                        <w:bottom w:val="none" w:sz="0" w:space="0" w:color="auto"/>
                        <w:right w:val="none" w:sz="0" w:space="0" w:color="auto"/>
                      </w:divBdr>
                    </w:div>
                    <w:div w:id="1234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052">
          <w:marLeft w:val="0"/>
          <w:marRight w:val="0"/>
          <w:marTop w:val="0"/>
          <w:marBottom w:val="0"/>
          <w:divBdr>
            <w:top w:val="none" w:sz="0" w:space="0" w:color="auto"/>
            <w:left w:val="none" w:sz="0" w:space="0" w:color="auto"/>
            <w:bottom w:val="none" w:sz="0" w:space="0" w:color="auto"/>
            <w:right w:val="none" w:sz="0" w:space="0" w:color="auto"/>
          </w:divBdr>
          <w:divsChild>
            <w:div w:id="1523862596">
              <w:marLeft w:val="0"/>
              <w:marRight w:val="0"/>
              <w:marTop w:val="0"/>
              <w:marBottom w:val="0"/>
              <w:divBdr>
                <w:top w:val="none" w:sz="0" w:space="0" w:color="auto"/>
                <w:left w:val="none" w:sz="0" w:space="0" w:color="auto"/>
                <w:bottom w:val="none" w:sz="0" w:space="0" w:color="auto"/>
                <w:right w:val="none" w:sz="0" w:space="0" w:color="auto"/>
              </w:divBdr>
              <w:divsChild>
                <w:div w:id="1574772796">
                  <w:marLeft w:val="0"/>
                  <w:marRight w:val="0"/>
                  <w:marTop w:val="0"/>
                  <w:marBottom w:val="0"/>
                  <w:divBdr>
                    <w:top w:val="none" w:sz="0" w:space="0" w:color="auto"/>
                    <w:left w:val="none" w:sz="0" w:space="0" w:color="auto"/>
                    <w:bottom w:val="none" w:sz="0" w:space="0" w:color="auto"/>
                    <w:right w:val="none" w:sz="0" w:space="0" w:color="auto"/>
                  </w:divBdr>
                  <w:divsChild>
                    <w:div w:id="1934628271">
                      <w:marLeft w:val="0"/>
                      <w:marRight w:val="0"/>
                      <w:marTop w:val="120"/>
                      <w:marBottom w:val="0"/>
                      <w:divBdr>
                        <w:top w:val="none" w:sz="0" w:space="0" w:color="auto"/>
                        <w:left w:val="none" w:sz="0" w:space="0" w:color="auto"/>
                        <w:bottom w:val="none" w:sz="0" w:space="0" w:color="auto"/>
                        <w:right w:val="none" w:sz="0" w:space="0" w:color="auto"/>
                      </w:divBdr>
                    </w:div>
                    <w:div w:id="1647589339">
                      <w:marLeft w:val="0"/>
                      <w:marRight w:val="0"/>
                      <w:marTop w:val="0"/>
                      <w:marBottom w:val="0"/>
                      <w:divBdr>
                        <w:top w:val="none" w:sz="0" w:space="0" w:color="auto"/>
                        <w:left w:val="none" w:sz="0" w:space="0" w:color="auto"/>
                        <w:bottom w:val="none" w:sz="0" w:space="0" w:color="auto"/>
                        <w:right w:val="none" w:sz="0" w:space="0" w:color="auto"/>
                      </w:divBdr>
                    </w:div>
                  </w:divsChild>
                </w:div>
                <w:div w:id="1857573518">
                  <w:marLeft w:val="0"/>
                  <w:marRight w:val="0"/>
                  <w:marTop w:val="0"/>
                  <w:marBottom w:val="0"/>
                  <w:divBdr>
                    <w:top w:val="none" w:sz="0" w:space="0" w:color="auto"/>
                    <w:left w:val="none" w:sz="0" w:space="0" w:color="auto"/>
                    <w:bottom w:val="none" w:sz="0" w:space="0" w:color="auto"/>
                    <w:right w:val="none" w:sz="0" w:space="0" w:color="auto"/>
                  </w:divBdr>
                  <w:divsChild>
                    <w:div w:id="552228719">
                      <w:marLeft w:val="0"/>
                      <w:marRight w:val="0"/>
                      <w:marTop w:val="120"/>
                      <w:marBottom w:val="0"/>
                      <w:divBdr>
                        <w:top w:val="none" w:sz="0" w:space="0" w:color="auto"/>
                        <w:left w:val="none" w:sz="0" w:space="0" w:color="auto"/>
                        <w:bottom w:val="none" w:sz="0" w:space="0" w:color="auto"/>
                        <w:right w:val="none" w:sz="0" w:space="0" w:color="auto"/>
                      </w:divBdr>
                    </w:div>
                    <w:div w:id="1337460829">
                      <w:marLeft w:val="0"/>
                      <w:marRight w:val="0"/>
                      <w:marTop w:val="0"/>
                      <w:marBottom w:val="0"/>
                      <w:divBdr>
                        <w:top w:val="none" w:sz="0" w:space="0" w:color="auto"/>
                        <w:left w:val="none" w:sz="0" w:space="0" w:color="auto"/>
                        <w:bottom w:val="none" w:sz="0" w:space="0" w:color="auto"/>
                        <w:right w:val="none" w:sz="0" w:space="0" w:color="auto"/>
                      </w:divBdr>
                    </w:div>
                  </w:divsChild>
                </w:div>
                <w:div w:id="1166165256">
                  <w:marLeft w:val="0"/>
                  <w:marRight w:val="0"/>
                  <w:marTop w:val="0"/>
                  <w:marBottom w:val="0"/>
                  <w:divBdr>
                    <w:top w:val="none" w:sz="0" w:space="0" w:color="auto"/>
                    <w:left w:val="none" w:sz="0" w:space="0" w:color="auto"/>
                    <w:bottom w:val="none" w:sz="0" w:space="0" w:color="auto"/>
                    <w:right w:val="none" w:sz="0" w:space="0" w:color="auto"/>
                  </w:divBdr>
                  <w:divsChild>
                    <w:div w:id="563952312">
                      <w:marLeft w:val="0"/>
                      <w:marRight w:val="0"/>
                      <w:marTop w:val="120"/>
                      <w:marBottom w:val="0"/>
                      <w:divBdr>
                        <w:top w:val="none" w:sz="0" w:space="0" w:color="auto"/>
                        <w:left w:val="none" w:sz="0" w:space="0" w:color="auto"/>
                        <w:bottom w:val="none" w:sz="0" w:space="0" w:color="auto"/>
                        <w:right w:val="none" w:sz="0" w:space="0" w:color="auto"/>
                      </w:divBdr>
                    </w:div>
                    <w:div w:id="8328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27660117">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611</Words>
  <Characters>3487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41</cp:revision>
  <cp:lastPrinted>2020-04-22T07:34:00Z</cp:lastPrinted>
  <dcterms:created xsi:type="dcterms:W3CDTF">2022-08-18T16:41:00Z</dcterms:created>
  <dcterms:modified xsi:type="dcterms:W3CDTF">2023-09-14T15:23:00Z</dcterms:modified>
</cp:coreProperties>
</file>