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5E3B8" w14:textId="724DDCA4" w:rsidR="00E80175" w:rsidRPr="00697B24" w:rsidRDefault="00E80175" w:rsidP="00E80175">
      <w:pPr>
        <w:spacing w:before="120" w:after="120" w:line="280" w:lineRule="exact"/>
        <w:jc w:val="center"/>
        <w:rPr>
          <w:rFonts w:ascii="Arial" w:hAnsi="Arial" w:cs="Arial"/>
          <w:b/>
          <w:noProof/>
          <w:sz w:val="20"/>
          <w:szCs w:val="20"/>
          <w:lang w:val="ro-RO"/>
        </w:rPr>
      </w:pPr>
      <w:r w:rsidRPr="00697B24">
        <w:rPr>
          <w:rFonts w:ascii="Arial" w:hAnsi="Arial" w:cs="Arial"/>
          <w:b/>
          <w:noProof/>
          <w:sz w:val="20"/>
          <w:szCs w:val="20"/>
          <w:lang w:val="ro-RO"/>
        </w:rPr>
        <w:t xml:space="preserve">NOTE EXPLICATIVE CU PRIVIRE LA </w:t>
      </w:r>
      <w:r w:rsidR="00FE023A">
        <w:rPr>
          <w:rFonts w:ascii="Arial" w:hAnsi="Arial" w:cs="Arial"/>
          <w:b/>
          <w:noProof/>
          <w:sz w:val="20"/>
          <w:szCs w:val="20"/>
          <w:lang w:val="ro-RO"/>
        </w:rPr>
        <w:t xml:space="preserve">PUNCTUL </w:t>
      </w:r>
      <w:r w:rsidR="00FD21CE">
        <w:rPr>
          <w:rFonts w:ascii="Arial" w:hAnsi="Arial" w:cs="Arial"/>
          <w:b/>
          <w:noProof/>
          <w:sz w:val="20"/>
          <w:szCs w:val="20"/>
          <w:lang w:val="ro-RO"/>
        </w:rPr>
        <w:t>3</w:t>
      </w:r>
      <w:r w:rsidRPr="00697B24">
        <w:rPr>
          <w:rFonts w:ascii="Arial" w:hAnsi="Arial" w:cs="Arial"/>
          <w:b/>
          <w:noProof/>
          <w:sz w:val="20"/>
          <w:szCs w:val="20"/>
          <w:lang w:val="ro-RO"/>
        </w:rPr>
        <w:t xml:space="preserve"> DE PE ORDINEA DE ZI A ADUNĂRII GENERALE EXTRAORDINARE A ACȚIONARILOR SOCIETĂȚII ONE UNITED PROPERTIES S.A. („SOCIETATEA”)</w:t>
      </w:r>
      <w:r w:rsidR="000F4F24">
        <w:rPr>
          <w:rFonts w:ascii="Arial" w:hAnsi="Arial" w:cs="Arial"/>
          <w:b/>
          <w:noProof/>
          <w:sz w:val="20"/>
          <w:szCs w:val="20"/>
          <w:lang w:val="ro-RO"/>
        </w:rPr>
        <w:t xml:space="preserve"> CONVOCATĂ ÎN DATA DE 9 OCTOMBRIE 2023</w:t>
      </w:r>
      <w:r w:rsidR="000A5593">
        <w:rPr>
          <w:rFonts w:ascii="Arial" w:hAnsi="Arial" w:cs="Arial"/>
          <w:b/>
          <w:noProof/>
          <w:sz w:val="20"/>
          <w:szCs w:val="20"/>
          <w:lang w:val="ro-RO"/>
        </w:rPr>
        <w:t xml:space="preserve"> </w:t>
      </w:r>
      <w:r w:rsidR="000A5593" w:rsidRPr="00697B24">
        <w:rPr>
          <w:rFonts w:ascii="Arial" w:hAnsi="Arial" w:cs="Arial"/>
          <w:b/>
          <w:noProof/>
          <w:sz w:val="20"/>
          <w:szCs w:val="20"/>
          <w:lang w:val="ro-RO"/>
        </w:rPr>
        <w:t>(„AGEA”)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835020" w:rsidRPr="00024242" w14:paraId="68A74E5C" w14:textId="77777777" w:rsidTr="00006DDE">
        <w:trPr>
          <w:trHeight w:val="981"/>
          <w:jc w:val="center"/>
        </w:trPr>
        <w:tc>
          <w:tcPr>
            <w:tcW w:w="9926" w:type="dxa"/>
          </w:tcPr>
          <w:p w14:paraId="5D5276BD" w14:textId="77777777" w:rsidR="00FD21CE" w:rsidRPr="004424D1" w:rsidRDefault="00FD21CE" w:rsidP="00FD21CE">
            <w:pPr>
              <w:spacing w:before="120" w:after="120" w:line="280" w:lineRule="exact"/>
              <w:jc w:val="both"/>
              <w:rPr>
                <w:rFonts w:ascii="Arial" w:hAnsi="Arial" w:cs="Arial"/>
                <w:noProof/>
                <w:sz w:val="20"/>
                <w:szCs w:val="20"/>
                <w:lang w:val="ro-RO"/>
              </w:rPr>
            </w:pPr>
            <w:r w:rsidRPr="004424D1">
              <w:rPr>
                <w:rFonts w:ascii="Arial" w:hAnsi="Arial" w:cs="Arial"/>
                <w:noProof/>
                <w:sz w:val="20"/>
                <w:szCs w:val="20"/>
                <w:lang w:val="ro-RO"/>
              </w:rPr>
              <w:t>Conform prevederilor art. 103</w:t>
            </w:r>
            <w:r w:rsidRPr="004424D1">
              <w:rPr>
                <w:rFonts w:ascii="Arial" w:hAnsi="Arial" w:cs="Arial"/>
                <w:noProof/>
                <w:sz w:val="20"/>
                <w:szCs w:val="20"/>
                <w:vertAlign w:val="superscript"/>
                <w:lang w:val="ro-RO"/>
              </w:rPr>
              <w:t>1</w:t>
            </w:r>
            <w:r w:rsidRPr="004424D1">
              <w:rPr>
                <w:rFonts w:ascii="Arial" w:hAnsi="Arial" w:cs="Arial"/>
                <w:noProof/>
                <w:sz w:val="20"/>
                <w:szCs w:val="20"/>
                <w:lang w:val="ro-RO"/>
              </w:rPr>
              <w:t xml:space="preserve"> din Legea nr. 31/1990 a societăților republicată, cu modificărileși completările ulterioare („</w:t>
            </w:r>
            <w:r w:rsidRPr="004424D1">
              <w:rPr>
                <w:rFonts w:ascii="Arial" w:hAnsi="Arial" w:cs="Arial"/>
                <w:b/>
                <w:bCs/>
                <w:noProof/>
                <w:sz w:val="20"/>
                <w:szCs w:val="20"/>
                <w:lang w:val="ro-RO"/>
              </w:rPr>
              <w:t>Legea Societăților</w:t>
            </w:r>
            <w:r w:rsidRPr="004424D1">
              <w:rPr>
                <w:rFonts w:ascii="Arial" w:hAnsi="Arial" w:cs="Arial"/>
                <w:noProof/>
                <w:sz w:val="20"/>
                <w:szCs w:val="20"/>
                <w:lang w:val="ro-RO"/>
              </w:rPr>
              <w:t>”), răscumpărarea acțiunilor poate avea loc în următoarele condiții:</w:t>
            </w:r>
          </w:p>
          <w:p w14:paraId="3FA214B1" w14:textId="77777777" w:rsidR="00FD21CE" w:rsidRPr="00C46FD6" w:rsidRDefault="00FD21CE" w:rsidP="00FD21CE">
            <w:pPr>
              <w:spacing w:before="120" w:after="120" w:line="280" w:lineRule="exact"/>
              <w:jc w:val="both"/>
              <w:rPr>
                <w:rFonts w:ascii="Arial" w:hAnsi="Arial" w:cs="Arial"/>
                <w:i/>
                <w:iCs/>
                <w:noProof/>
                <w:sz w:val="20"/>
                <w:szCs w:val="20"/>
                <w:lang w:val="ro-RO"/>
              </w:rPr>
            </w:pPr>
            <w:r w:rsidRPr="004424D1">
              <w:rPr>
                <w:rFonts w:ascii="Arial" w:hAnsi="Arial" w:cs="Arial"/>
                <w:noProof/>
                <w:sz w:val="20"/>
                <w:szCs w:val="20"/>
                <w:lang w:val="ro-RO"/>
              </w:rPr>
              <w:t>„</w:t>
            </w:r>
            <w:r w:rsidRPr="00C46FD6">
              <w:rPr>
                <w:rFonts w:ascii="Arial" w:hAnsi="Arial" w:cs="Arial"/>
                <w:i/>
                <w:iCs/>
                <w:noProof/>
                <w:sz w:val="20"/>
                <w:szCs w:val="20"/>
                <w:lang w:val="ro-RO"/>
              </w:rPr>
              <w:t>a) autorizarea dobândirii propriilor acțiuni este acordată de către adunarea generală extraordinară a acționarilor, care va stabili condițiile acestei dobândiri, în special numărul maxim de acțiuni ce urmează a fi dobândite, durata pentru care este acordată autorizația și care nu poate depăși 18 luni de la data publicării hotărârii în Monitorul Oficial al României, Partea a IV-a, și, în cazul unei dobândiri cu titlu oneros, contravaloarea lor minimă și maximă;</w:t>
            </w:r>
          </w:p>
          <w:p w14:paraId="48009095" w14:textId="77777777" w:rsidR="00FD21CE" w:rsidRPr="00C46FD6" w:rsidRDefault="00FD21CE" w:rsidP="00FD21CE">
            <w:pPr>
              <w:spacing w:before="120" w:after="120" w:line="280" w:lineRule="exact"/>
              <w:jc w:val="both"/>
              <w:rPr>
                <w:rFonts w:ascii="Arial" w:hAnsi="Arial" w:cs="Arial"/>
                <w:i/>
                <w:iCs/>
                <w:noProof/>
                <w:sz w:val="20"/>
                <w:szCs w:val="20"/>
                <w:lang w:val="ro-RO"/>
              </w:rPr>
            </w:pPr>
            <w:r w:rsidRPr="00C46FD6">
              <w:rPr>
                <w:rFonts w:ascii="Arial" w:hAnsi="Arial" w:cs="Arial"/>
                <w:i/>
                <w:iCs/>
                <w:noProof/>
                <w:sz w:val="20"/>
                <w:szCs w:val="20"/>
                <w:lang w:val="ro-RO"/>
              </w:rPr>
              <w:t>b) valoarea nominală a acțiunilor proprii dobândite de societate, inclusiv a celor aflate deja în portofoliul său, nu poate depăși 10% din capitalul social subscris;</w:t>
            </w:r>
          </w:p>
          <w:p w14:paraId="58B78C81" w14:textId="77777777" w:rsidR="00FD21CE" w:rsidRPr="00C46FD6" w:rsidRDefault="00FD21CE" w:rsidP="00FD21CE">
            <w:pPr>
              <w:spacing w:before="120" w:after="120" w:line="280" w:lineRule="exact"/>
              <w:jc w:val="both"/>
              <w:rPr>
                <w:rFonts w:ascii="Arial" w:hAnsi="Arial" w:cs="Arial"/>
                <w:i/>
                <w:iCs/>
                <w:noProof/>
                <w:sz w:val="20"/>
                <w:szCs w:val="20"/>
                <w:lang w:val="ro-RO"/>
              </w:rPr>
            </w:pPr>
            <w:r w:rsidRPr="00C46FD6">
              <w:rPr>
                <w:rFonts w:ascii="Arial" w:hAnsi="Arial" w:cs="Arial"/>
                <w:i/>
                <w:iCs/>
                <w:noProof/>
                <w:sz w:val="20"/>
                <w:szCs w:val="20"/>
                <w:lang w:val="ro-RO"/>
              </w:rPr>
              <w:t>c) tranzacția poate avea ca obiect doar acțiuni integral liberate;</w:t>
            </w:r>
          </w:p>
          <w:p w14:paraId="14960BAE" w14:textId="77777777" w:rsidR="00FD21CE" w:rsidRPr="004424D1" w:rsidRDefault="00FD21CE" w:rsidP="00FD21CE">
            <w:pPr>
              <w:spacing w:before="120" w:after="120" w:line="280" w:lineRule="exact"/>
              <w:jc w:val="both"/>
              <w:rPr>
                <w:rFonts w:ascii="Arial" w:hAnsi="Arial" w:cs="Arial"/>
                <w:noProof/>
                <w:sz w:val="20"/>
                <w:szCs w:val="20"/>
                <w:lang w:val="ro-RO"/>
              </w:rPr>
            </w:pPr>
            <w:r w:rsidRPr="00C46FD6">
              <w:rPr>
                <w:rFonts w:ascii="Arial" w:hAnsi="Arial" w:cs="Arial"/>
                <w:i/>
                <w:iCs/>
                <w:noProof/>
                <w:sz w:val="20"/>
                <w:szCs w:val="20"/>
                <w:lang w:val="ro-RO"/>
              </w:rPr>
              <w:t>d) plata acțiunilor astfel dobândite se va face numai din profitul distribuibil sau din rezervele disponibile ale societății, înscrise în ultima situație financiară anuală aprobată, cu excepția rezervelor legale</w:t>
            </w:r>
            <w:r w:rsidRPr="004424D1">
              <w:rPr>
                <w:rFonts w:ascii="Arial" w:hAnsi="Arial" w:cs="Arial"/>
                <w:noProof/>
                <w:sz w:val="20"/>
                <w:szCs w:val="20"/>
                <w:lang w:val="ro-RO"/>
              </w:rPr>
              <w:t>”.</w:t>
            </w:r>
          </w:p>
          <w:p w14:paraId="5B4ACB61" w14:textId="26C775D7" w:rsidR="00FD21CE" w:rsidRPr="004424D1" w:rsidRDefault="00FD21CE" w:rsidP="00FD21CE">
            <w:pPr>
              <w:spacing w:before="120" w:after="120" w:line="280" w:lineRule="exact"/>
              <w:jc w:val="both"/>
              <w:rPr>
                <w:rFonts w:ascii="Arial" w:hAnsi="Arial" w:cs="Arial"/>
                <w:noProof/>
                <w:sz w:val="20"/>
                <w:szCs w:val="20"/>
                <w:lang w:val="ro-RO"/>
              </w:rPr>
            </w:pPr>
            <w:r w:rsidRPr="004424D1">
              <w:rPr>
                <w:rFonts w:ascii="Arial" w:hAnsi="Arial" w:cs="Arial"/>
                <w:noProof/>
                <w:sz w:val="20"/>
                <w:szCs w:val="20"/>
                <w:lang w:val="ro-RO"/>
              </w:rPr>
              <w:t>Astfel, programul de răscumpărare propus spre votul acționarilor Societății conform punctului 3 de pe ordinea de zi a Adunării Generale Extraordinare a Acționarilor Societății convocată pentru 9/10 octombrie 2023 („</w:t>
            </w:r>
            <w:r w:rsidRPr="004424D1">
              <w:rPr>
                <w:rFonts w:ascii="Arial" w:hAnsi="Arial" w:cs="Arial"/>
                <w:b/>
                <w:bCs/>
                <w:noProof/>
                <w:sz w:val="20"/>
                <w:szCs w:val="20"/>
                <w:lang w:val="ro-RO"/>
              </w:rPr>
              <w:t>AGEA</w:t>
            </w:r>
            <w:r w:rsidRPr="004424D1">
              <w:rPr>
                <w:rFonts w:ascii="Arial" w:hAnsi="Arial" w:cs="Arial"/>
                <w:noProof/>
                <w:sz w:val="20"/>
                <w:szCs w:val="20"/>
                <w:lang w:val="ro-RO"/>
              </w:rPr>
              <w:t>”) îndeplinește cerințele prevăzute de Legea Societăților.</w:t>
            </w:r>
          </w:p>
          <w:p w14:paraId="5F6938C7" w14:textId="77777777" w:rsidR="00FD21CE" w:rsidRPr="004424D1" w:rsidRDefault="00FD21CE" w:rsidP="00FD21CE">
            <w:pPr>
              <w:spacing w:before="120" w:after="120" w:line="280" w:lineRule="exact"/>
              <w:jc w:val="both"/>
              <w:rPr>
                <w:rFonts w:ascii="Arial" w:hAnsi="Arial" w:cs="Arial"/>
                <w:noProof/>
                <w:sz w:val="20"/>
                <w:szCs w:val="20"/>
                <w:lang w:val="ro-RO"/>
              </w:rPr>
            </w:pPr>
            <w:r w:rsidRPr="004424D1">
              <w:rPr>
                <w:rFonts w:ascii="Arial" w:hAnsi="Arial" w:cs="Arial"/>
                <w:noProof/>
                <w:sz w:val="20"/>
                <w:szCs w:val="20"/>
                <w:lang w:val="ro-RO"/>
              </w:rPr>
              <w:t>De asemenea, pe lângă prevederile Legii Societăților, potrivit prevederilor Regulamentului delegat (UE) 2016/1052 al Comisiei din 8 martie 2016 de completare a Regulamentului (UE) nr. 596/2014 al Parlamentului European și al Consiliului în ceea ce privește standardele tehnice de reglementare pentru condițiile aplicabile programelor de răscumpărare și măsurilor de stabilizare („</w:t>
            </w:r>
            <w:r w:rsidRPr="004424D1">
              <w:rPr>
                <w:rFonts w:ascii="Arial" w:hAnsi="Arial" w:cs="Arial"/>
                <w:b/>
                <w:bCs/>
                <w:noProof/>
                <w:sz w:val="20"/>
                <w:szCs w:val="20"/>
                <w:lang w:val="ro-RO"/>
              </w:rPr>
              <w:t>Regulamentul 2016/1052</w:t>
            </w:r>
            <w:r w:rsidRPr="004424D1">
              <w:rPr>
                <w:rFonts w:ascii="Arial" w:hAnsi="Arial" w:cs="Arial"/>
                <w:noProof/>
                <w:sz w:val="20"/>
                <w:szCs w:val="20"/>
                <w:lang w:val="ro-RO"/>
              </w:rPr>
              <w:t>”) și cele ale articolului 5 din Regulamentul (UE) nr. 596/2014 al Parlamentului European și al Consiliului din 16 aprilie 2014 privind abuzul de piață (regulamentul privind abuzul de piață) și de abrogare a Directivei 2003/6/CE a Parlamentului European și a Consiliului și a Directivelor 2003/124/CE, 2003/125/CE și 2004/72/CE ale Comisiei („</w:t>
            </w:r>
            <w:r w:rsidRPr="004424D1">
              <w:rPr>
                <w:rFonts w:ascii="Arial" w:hAnsi="Arial" w:cs="Arial"/>
                <w:b/>
                <w:bCs/>
                <w:noProof/>
                <w:sz w:val="20"/>
                <w:szCs w:val="20"/>
                <w:lang w:val="ro-RO"/>
              </w:rPr>
              <w:t>Regulamentul privind Abuzul de Piață</w:t>
            </w:r>
            <w:r w:rsidRPr="004424D1">
              <w:rPr>
                <w:rFonts w:ascii="Arial" w:hAnsi="Arial" w:cs="Arial"/>
                <w:noProof/>
                <w:sz w:val="20"/>
                <w:szCs w:val="20"/>
                <w:lang w:val="ro-RO"/>
              </w:rPr>
              <w:t>”), interdicțiile prevăzute la articolele 14 (interzicerea utilizării abuzive și a divulgării neautorizate a informațiilor privilegiate) și 15 (interzicerea manipulării pieței) din Regulamentul privind Abuzul de Piață nu se aplică tranzacțiilor cu acțiuni proprii în cadrul programelor de răscumpărare atunci când:</w:t>
            </w:r>
          </w:p>
          <w:p w14:paraId="62B423C0" w14:textId="4461FD09" w:rsidR="00FD21CE" w:rsidRPr="004424D1" w:rsidRDefault="00FD21CE" w:rsidP="00FD21CE">
            <w:pPr>
              <w:pStyle w:val="ListParagraph"/>
              <w:numPr>
                <w:ilvl w:val="0"/>
                <w:numId w:val="14"/>
              </w:numPr>
              <w:spacing w:before="120" w:after="120" w:line="280" w:lineRule="exact"/>
              <w:ind w:left="432"/>
              <w:contextualSpacing w:val="0"/>
              <w:jc w:val="both"/>
              <w:rPr>
                <w:rFonts w:cs="Arial"/>
                <w:b w:val="0"/>
                <w:bCs/>
                <w:noProof/>
                <w:szCs w:val="20"/>
                <w:lang w:val="ro-RO"/>
              </w:rPr>
            </w:pPr>
            <w:r w:rsidRPr="004424D1">
              <w:rPr>
                <w:rFonts w:cs="Arial"/>
                <w:b w:val="0"/>
                <w:bCs/>
                <w:noProof/>
                <w:szCs w:val="20"/>
                <w:lang w:val="ro-RO"/>
              </w:rPr>
              <w:t>detaliile complete ale programului sunt divulgate înainte de începerea tranzacționării;</w:t>
            </w:r>
          </w:p>
          <w:p w14:paraId="56BE15D5" w14:textId="6C09E02F" w:rsidR="00C551FF" w:rsidRPr="004424D1" w:rsidRDefault="00FD21CE" w:rsidP="00FD21CE">
            <w:pPr>
              <w:pStyle w:val="ListParagraph"/>
              <w:numPr>
                <w:ilvl w:val="0"/>
                <w:numId w:val="14"/>
              </w:numPr>
              <w:spacing w:before="120" w:after="120" w:line="280" w:lineRule="exact"/>
              <w:ind w:left="432"/>
              <w:contextualSpacing w:val="0"/>
              <w:jc w:val="both"/>
              <w:rPr>
                <w:rFonts w:cs="Arial"/>
                <w:b w:val="0"/>
                <w:bCs/>
                <w:noProof/>
                <w:szCs w:val="20"/>
                <w:lang w:val="ro-RO"/>
              </w:rPr>
            </w:pPr>
            <w:r w:rsidRPr="004424D1">
              <w:rPr>
                <w:rFonts w:cs="Arial"/>
                <w:b w:val="0"/>
                <w:bCs/>
                <w:noProof/>
                <w:szCs w:val="20"/>
                <w:lang w:val="ro-RO"/>
              </w:rPr>
              <w:t>tranzacțiile sunt raportate ca făcând parte din programul de răscumpărare autorității competente de la locul de tranzacționare și comunicate ulterior publicului;</w:t>
            </w:r>
          </w:p>
          <w:p w14:paraId="426E6129" w14:textId="2BE267E6" w:rsidR="00FD21CE" w:rsidRPr="004424D1" w:rsidRDefault="00FD21CE" w:rsidP="00FD21CE">
            <w:pPr>
              <w:pStyle w:val="ListParagraph"/>
              <w:numPr>
                <w:ilvl w:val="0"/>
                <w:numId w:val="14"/>
              </w:numPr>
              <w:spacing w:before="120" w:after="120" w:line="280" w:lineRule="exact"/>
              <w:ind w:left="432"/>
              <w:contextualSpacing w:val="0"/>
              <w:jc w:val="both"/>
              <w:rPr>
                <w:rFonts w:cs="Arial"/>
                <w:b w:val="0"/>
                <w:bCs/>
                <w:noProof/>
                <w:szCs w:val="20"/>
                <w:lang w:val="ro-RO"/>
              </w:rPr>
            </w:pPr>
            <w:r w:rsidRPr="004424D1">
              <w:rPr>
                <w:rFonts w:cs="Arial"/>
                <w:b w:val="0"/>
                <w:bCs/>
                <w:noProof/>
                <w:szCs w:val="20"/>
                <w:lang w:val="ro-RO"/>
              </w:rPr>
              <w:t>sunt respectate limitele corespunzătoare în ceea ce privește prețurile și volumele;</w:t>
            </w:r>
          </w:p>
          <w:p w14:paraId="1F923957" w14:textId="6F797572" w:rsidR="00FD21CE" w:rsidRPr="004424D1" w:rsidRDefault="00FD21CE" w:rsidP="00FD21CE">
            <w:pPr>
              <w:pStyle w:val="ListParagraph"/>
              <w:numPr>
                <w:ilvl w:val="0"/>
                <w:numId w:val="14"/>
              </w:numPr>
              <w:spacing w:before="120" w:after="120" w:line="280" w:lineRule="exact"/>
              <w:ind w:left="432"/>
              <w:contextualSpacing w:val="0"/>
              <w:jc w:val="both"/>
              <w:rPr>
                <w:rFonts w:cs="Arial"/>
                <w:b w:val="0"/>
                <w:bCs/>
                <w:noProof/>
                <w:szCs w:val="20"/>
                <w:lang w:val="ro-RO"/>
              </w:rPr>
            </w:pPr>
            <w:r w:rsidRPr="004424D1">
              <w:rPr>
                <w:rFonts w:cs="Arial"/>
                <w:b w:val="0"/>
                <w:bCs/>
                <w:noProof/>
                <w:szCs w:val="20"/>
                <w:lang w:val="ro-RO"/>
              </w:rPr>
              <w:lastRenderedPageBreak/>
              <w:t>sunt desfășurate în conformitate cu următoarele obiective: (i) reducerea capitalul unui emitent, (ii) respectarea obligațiilor provenite din titlurile de creanță care sunt convertibile în instrumente de capitaluri proprii, (iii) respectarea obligațiilor provenite din programele de opțiuni pe acțiuni sau din alte tipuri de repartizare de acțiuni către angajați sau membri ai organelor de administrație, de conducere sau de supraveghere ale emitentului sau ai unei societăți asociate; și</w:t>
            </w:r>
          </w:p>
          <w:p w14:paraId="47AE711B" w14:textId="227F07D9" w:rsidR="00FD21CE" w:rsidRPr="004424D1" w:rsidRDefault="00FD21CE" w:rsidP="00FD21CE">
            <w:pPr>
              <w:pStyle w:val="ListParagraph"/>
              <w:numPr>
                <w:ilvl w:val="0"/>
                <w:numId w:val="14"/>
              </w:numPr>
              <w:spacing w:before="120" w:after="120" w:line="280" w:lineRule="exact"/>
              <w:ind w:left="432"/>
              <w:contextualSpacing w:val="0"/>
              <w:jc w:val="both"/>
              <w:rPr>
                <w:rFonts w:cs="Arial"/>
                <w:b w:val="0"/>
                <w:bCs/>
                <w:noProof/>
                <w:szCs w:val="20"/>
                <w:lang w:val="ro-RO"/>
              </w:rPr>
            </w:pPr>
            <w:r w:rsidRPr="004424D1">
              <w:rPr>
                <w:rFonts w:cs="Arial"/>
                <w:b w:val="0"/>
                <w:bCs/>
                <w:noProof/>
                <w:szCs w:val="20"/>
                <w:lang w:val="ro-RO"/>
              </w:rPr>
              <w:t>sunt desfășurate în condițiile stabilite în Regulamentul privind Abuzul de Piață și în standardele tehnice stabilite prin Regulamentul 2016/1052.</w:t>
            </w:r>
          </w:p>
          <w:p w14:paraId="0A3602FC" w14:textId="77777777" w:rsidR="00FD21CE" w:rsidRPr="004424D1" w:rsidRDefault="00FD21CE" w:rsidP="00FD21CE">
            <w:pPr>
              <w:spacing w:before="120" w:after="120" w:line="280" w:lineRule="exact"/>
              <w:jc w:val="both"/>
              <w:rPr>
                <w:rFonts w:ascii="Arial" w:hAnsi="Arial" w:cs="Arial"/>
                <w:bCs/>
                <w:noProof/>
                <w:sz w:val="20"/>
                <w:szCs w:val="20"/>
                <w:lang w:val="ro-RO"/>
              </w:rPr>
            </w:pPr>
            <w:r w:rsidRPr="004424D1">
              <w:rPr>
                <w:rFonts w:ascii="Arial" w:hAnsi="Arial" w:cs="Arial"/>
                <w:bCs/>
                <w:noProof/>
                <w:sz w:val="20"/>
                <w:szCs w:val="20"/>
                <w:lang w:val="ro-RO"/>
              </w:rPr>
              <w:t>Astfel, Societatea va putea desfășura programul de răscumpărare în condițiile sus-menționate (de tip „safe harbour”) sau, după caz, în cazul în care tranzacțiile din programul de răscumpărare nu beneficiază de „safe habour”, cu respectarea interdicțiilor prevăzute la articolele 14 (interzicerea utilizării abuzive și a divulgării neautorizate a informațiilor privilegiate) și 15 (interzicerea manipulării pieței) din Regulamentul privind Abuzul de Piață.</w:t>
            </w:r>
          </w:p>
          <w:p w14:paraId="558EF705" w14:textId="551D3FC8" w:rsidR="00FD21CE" w:rsidRPr="00C551FF" w:rsidRDefault="00FD21CE" w:rsidP="00FD21CE">
            <w:pPr>
              <w:spacing w:before="120" w:after="120" w:line="280" w:lineRule="exact"/>
              <w:jc w:val="both"/>
              <w:rPr>
                <w:rFonts w:cs="Arial"/>
                <w:noProof/>
                <w:szCs w:val="20"/>
                <w:lang w:val="ro-RO"/>
              </w:rPr>
            </w:pPr>
            <w:r w:rsidRPr="004424D1">
              <w:rPr>
                <w:rFonts w:ascii="Arial" w:hAnsi="Arial" w:cs="Arial"/>
                <w:bCs/>
                <w:noProof/>
                <w:sz w:val="20"/>
                <w:szCs w:val="20"/>
                <w:lang w:val="ro-RO"/>
              </w:rPr>
              <w:t>Consiliul de Administrație va dezvălui în mod corespunzător înainte de începerea tranzacționării în cadrul programului de răscumpărare scopul programului (scopul programului fiind încă subiectul unei analize la nivelul Consiliului de Administrație).</w:t>
            </w:r>
          </w:p>
        </w:tc>
      </w:tr>
    </w:tbl>
    <w:p w14:paraId="3A82FD99" w14:textId="37788014" w:rsidR="00A15C68" w:rsidRPr="00697B24" w:rsidRDefault="00A15C68" w:rsidP="00F41017">
      <w:pPr>
        <w:spacing w:before="120" w:after="120" w:line="280" w:lineRule="exact"/>
        <w:jc w:val="both"/>
        <w:rPr>
          <w:rFonts w:ascii="Arial" w:hAnsi="Arial" w:cs="Arial"/>
          <w:bCs/>
          <w:noProof/>
          <w:sz w:val="20"/>
          <w:szCs w:val="20"/>
          <w:lang w:val="ro-RO"/>
        </w:rPr>
      </w:pPr>
    </w:p>
    <w:sectPr w:rsidR="00A15C68" w:rsidRPr="00697B24"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0E177" w14:textId="77777777" w:rsidR="004C25D7" w:rsidRDefault="004C25D7" w:rsidP="00A476D7">
      <w:r>
        <w:separator/>
      </w:r>
    </w:p>
  </w:endnote>
  <w:endnote w:type="continuationSeparator" w:id="0">
    <w:p w14:paraId="68508A2F" w14:textId="77777777" w:rsidR="004C25D7" w:rsidRDefault="004C25D7" w:rsidP="00A476D7">
      <w:r>
        <w:continuationSeparator/>
      </w:r>
    </w:p>
  </w:endnote>
  <w:endnote w:type="continuationNotice" w:id="1">
    <w:p w14:paraId="3ADE33F8" w14:textId="77777777" w:rsidR="004C25D7" w:rsidRDefault="004C2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187CF6FB" w14:textId="77777777" w:rsidR="00562C70" w:rsidRPr="00730C60" w:rsidDel="00562C70" w:rsidRDefault="00562C70">
        <w:pPr>
          <w:pStyle w:val="Footer"/>
          <w:jc w:val="center"/>
          <w:rPr>
            <w:noProof/>
          </w:rPr>
        </w:pPr>
      </w:p>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6D41B9" w14:paraId="0C6C8CD9" w14:textId="77777777" w:rsidTr="00EC0FFC">
          <w:trPr>
            <w:jc w:val="center"/>
          </w:trPr>
          <w:tc>
            <w:tcPr>
              <w:tcW w:w="265" w:type="dxa"/>
            </w:tcPr>
            <w:p w14:paraId="46203BC9" w14:textId="77777777" w:rsidR="006D41B9" w:rsidRDefault="006D41B9" w:rsidP="006D41B9">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6672" behindDoc="1" locked="0" layoutInCell="1" allowOverlap="1" wp14:anchorId="3B641249" wp14:editId="091E4FD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5DA2774B" w14:textId="03B3A4DB" w:rsidR="006D41B9" w:rsidRPr="00900C1F" w:rsidRDefault="006D41B9" w:rsidP="006D41B9">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w:t>
              </w:r>
              <w:r w:rsidR="00156166">
                <w:rPr>
                  <w:rFonts w:ascii="Segoe UI" w:hAnsi="Segoe UI" w:cs="Segoe UI"/>
                  <w:color w:val="002060"/>
                  <w:sz w:val="12"/>
                  <w:szCs w:val="12"/>
                </w:rPr>
                <w:t>s</w:t>
              </w:r>
              <w:r w:rsidRPr="00926997">
                <w:rPr>
                  <w:rFonts w:ascii="Segoe UI" w:hAnsi="Segoe UI" w:cs="Segoe UI"/>
                  <w:color w:val="002060"/>
                  <w:sz w:val="12"/>
                  <w:szCs w:val="12"/>
                </w:rPr>
                <w:t>ti,</w:t>
              </w:r>
              <w:r>
                <w:rPr>
                  <w:rFonts w:ascii="Segoe UI" w:hAnsi="Segoe UI" w:cs="Segoe UI"/>
                  <w:color w:val="002060"/>
                  <w:sz w:val="12"/>
                  <w:szCs w:val="12"/>
                </w:rPr>
                <w:t xml:space="preserve"> </w:t>
              </w:r>
              <w:r w:rsidRPr="00926997">
                <w:rPr>
                  <w:rFonts w:ascii="Segoe UI" w:hAnsi="Segoe UI" w:cs="Segoe UI"/>
                  <w:color w:val="002060"/>
                  <w:sz w:val="12"/>
                  <w:szCs w:val="12"/>
                </w:rPr>
                <w:t>Rom</w:t>
              </w:r>
              <w:r w:rsidR="00156166">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3CC759F4" w14:textId="77777777" w:rsidR="006D41B9" w:rsidRPr="00926997" w:rsidRDefault="006D41B9" w:rsidP="006D41B9">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7696" behindDoc="0" locked="0" layoutInCell="1" allowOverlap="1" wp14:anchorId="6AEAA6DA" wp14:editId="470FE3AB">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46D2BA16" w14:textId="77777777" w:rsidR="006D41B9" w:rsidRPr="00926997" w:rsidRDefault="006D41B9" w:rsidP="006D41B9">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D39ACAB" w14:textId="77777777" w:rsidR="006D41B9" w:rsidRPr="007829E4" w:rsidRDefault="006D41B9" w:rsidP="006D41B9">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3600" behindDoc="1" locked="0" layoutInCell="1" allowOverlap="1" wp14:anchorId="479DF54E" wp14:editId="11D8978B">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48A1EB52" w14:textId="77777777" w:rsidR="006D41B9" w:rsidRPr="007829E4" w:rsidRDefault="006D41B9" w:rsidP="006D41B9">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6CD8268" w14:textId="77777777" w:rsidR="006D41B9" w:rsidRPr="007829E4" w:rsidRDefault="006D41B9" w:rsidP="006D41B9">
              <w:pPr>
                <w:pStyle w:val="Footer"/>
                <w:rPr>
                  <w:u w:val="single"/>
                </w:rPr>
              </w:pPr>
              <w:r>
                <w:rPr>
                  <w:rFonts w:ascii="Segoe UI" w:hAnsi="Segoe UI" w:cs="Segoe UI"/>
                  <w:noProof/>
                  <w:color w:val="002060"/>
                  <w:sz w:val="12"/>
                  <w:szCs w:val="12"/>
                  <w:u w:val="single"/>
                </w:rPr>
                <w:drawing>
                  <wp:anchor distT="0" distB="0" distL="114300" distR="114300" simplePos="0" relativeHeight="251674624" behindDoc="0" locked="0" layoutInCell="1" allowOverlap="1" wp14:anchorId="3D3A59AE" wp14:editId="028F4C2B">
                    <wp:simplePos x="0" y="0"/>
                    <wp:positionH relativeFrom="column">
                      <wp:posOffset>-49775</wp:posOffset>
                    </wp:positionH>
                    <wp:positionV relativeFrom="paragraph">
                      <wp:posOffset>0</wp:posOffset>
                    </wp:positionV>
                    <wp:extent cx="109728" cy="109728"/>
                    <wp:effectExtent l="0" t="0" r="5080" b="5080"/>
                    <wp:wrapSquare wrapText="bothSides"/>
                    <wp:docPr id="24" name="Picture 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15108C8D" w14:textId="77777777" w:rsidR="006D41B9" w:rsidRPr="007829E4" w:rsidRDefault="006D41B9" w:rsidP="006D41B9">
              <w:pPr>
                <w:pStyle w:val="Footer"/>
                <w:rPr>
                  <w:u w:val="single"/>
                </w:rPr>
              </w:pPr>
              <w:r w:rsidRPr="007829E4">
                <w:rPr>
                  <w:rFonts w:ascii="Segoe UI" w:hAnsi="Segoe UI" w:cs="Segoe UI"/>
                  <w:color w:val="002060"/>
                  <w:sz w:val="12"/>
                  <w:szCs w:val="12"/>
                  <w:u w:val="single"/>
                </w:rPr>
                <w:t>www.one.ro</w:t>
              </w:r>
            </w:p>
          </w:tc>
          <w:tc>
            <w:tcPr>
              <w:tcW w:w="270" w:type="dxa"/>
            </w:tcPr>
            <w:p w14:paraId="36ECBC9D" w14:textId="77777777" w:rsidR="006D41B9" w:rsidRPr="00DC0E48" w:rsidRDefault="006D41B9" w:rsidP="006D41B9">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5648" behindDoc="0" locked="0" layoutInCell="1" allowOverlap="1" wp14:anchorId="4E69CCEF" wp14:editId="4BE7D953">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30CA023" w14:textId="77777777" w:rsidR="006D41B9" w:rsidRPr="00DC0E48" w:rsidRDefault="006D41B9" w:rsidP="006D41B9">
              <w:pPr>
                <w:pStyle w:val="Footer"/>
                <w:rPr>
                  <w:rFonts w:ascii="Segoe UI" w:hAnsi="Segoe UI" w:cs="Segoe UI"/>
                  <w:color w:val="002060"/>
                  <w:sz w:val="12"/>
                  <w:szCs w:val="12"/>
                </w:rPr>
              </w:pPr>
            </w:p>
          </w:tc>
          <w:tc>
            <w:tcPr>
              <w:tcW w:w="3690" w:type="dxa"/>
            </w:tcPr>
            <w:p w14:paraId="06683509" w14:textId="77777777" w:rsidR="006D41B9" w:rsidRPr="00DC0E48" w:rsidRDefault="006D41B9" w:rsidP="006D41B9">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66C75756" w14:textId="230A6233" w:rsidR="006D41B9" w:rsidRDefault="006D41B9" w:rsidP="006D41B9">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w:t>
              </w:r>
              <w:r w:rsidR="00156166">
                <w:rPr>
                  <w:rFonts w:ascii="Segoe UI" w:hAnsi="Segoe UI" w:cs="Segoe UI"/>
                  <w:color w:val="002060"/>
                  <w:sz w:val="12"/>
                  <w:szCs w:val="12"/>
                </w:rPr>
                <w:t>s</w:t>
              </w:r>
              <w:r w:rsidRPr="00DC0E48">
                <w:rPr>
                  <w:rFonts w:ascii="Segoe UI" w:hAnsi="Segoe UI" w:cs="Segoe UI"/>
                  <w:color w:val="002060"/>
                  <w:sz w:val="12"/>
                  <w:szCs w:val="12"/>
                </w:rPr>
                <w:t>ti</w:t>
              </w:r>
            </w:p>
            <w:p w14:paraId="086E5982" w14:textId="77777777" w:rsidR="006D41B9" w:rsidRDefault="006D41B9" w:rsidP="006D41B9">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613A2146" w14:textId="45681CA8" w:rsidR="007B5FD2" w:rsidRPr="00A913EF" w:rsidRDefault="00000000">
        <w:pPr>
          <w:pStyle w:val="Footer"/>
          <w:jc w:val="center"/>
          <w:rPr>
            <w:rFonts w:ascii="Arial" w:hAnsi="Arial" w:cs="Arial"/>
            <w:sz w:val="16"/>
            <w:szCs w:val="16"/>
          </w:rPr>
        </w:pPr>
      </w:p>
    </w:sdtContent>
  </w:sdt>
  <w:p w14:paraId="0E1B59BE" w14:textId="76A8FC1A"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3B45C9" w14:paraId="73B2B4BD" w14:textId="77777777" w:rsidTr="00EC0FFC">
      <w:trPr>
        <w:jc w:val="center"/>
      </w:trPr>
      <w:tc>
        <w:tcPr>
          <w:tcW w:w="265" w:type="dxa"/>
        </w:tcPr>
        <w:p w14:paraId="7622AC01" w14:textId="77777777" w:rsidR="003B45C9" w:rsidRDefault="003B45C9" w:rsidP="003B45C9">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0528" behindDoc="1" locked="0" layoutInCell="1" allowOverlap="1" wp14:anchorId="29CC9D17" wp14:editId="29B33A86">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2B2DA0C5" w14:textId="439FCF6A" w:rsidR="003B45C9" w:rsidRPr="00900C1F" w:rsidRDefault="003B45C9" w:rsidP="003B45C9">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w:t>
          </w:r>
          <w:r w:rsidR="00156166">
            <w:rPr>
              <w:rFonts w:ascii="Segoe UI" w:hAnsi="Segoe UI" w:cs="Segoe UI"/>
              <w:color w:val="002060"/>
              <w:sz w:val="12"/>
              <w:szCs w:val="12"/>
            </w:rPr>
            <w:t>s</w:t>
          </w:r>
          <w:r w:rsidRPr="00926997">
            <w:rPr>
              <w:rFonts w:ascii="Segoe UI" w:hAnsi="Segoe UI" w:cs="Segoe UI"/>
              <w:color w:val="002060"/>
              <w:sz w:val="12"/>
              <w:szCs w:val="12"/>
            </w:rPr>
            <w:t>ti,</w:t>
          </w:r>
          <w:r>
            <w:rPr>
              <w:rFonts w:ascii="Segoe UI" w:hAnsi="Segoe UI" w:cs="Segoe UI"/>
              <w:color w:val="002060"/>
              <w:sz w:val="12"/>
              <w:szCs w:val="12"/>
            </w:rPr>
            <w:t xml:space="preserve"> </w:t>
          </w:r>
          <w:r w:rsidRPr="00926997">
            <w:rPr>
              <w:rFonts w:ascii="Segoe UI" w:hAnsi="Segoe UI" w:cs="Segoe UI"/>
              <w:color w:val="002060"/>
              <w:sz w:val="12"/>
              <w:szCs w:val="12"/>
            </w:rPr>
            <w:t>Rom</w:t>
          </w:r>
          <w:r w:rsidR="00156166">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107D6988" w14:textId="77777777" w:rsidR="003B45C9" w:rsidRPr="00926997" w:rsidRDefault="003B45C9" w:rsidP="003B45C9">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1552" behindDoc="0" locked="0" layoutInCell="1" allowOverlap="1" wp14:anchorId="5BD8DEE0" wp14:editId="29EB1A0F">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6463038" w14:textId="77777777" w:rsidR="003B45C9" w:rsidRPr="00926997" w:rsidRDefault="003B45C9" w:rsidP="003B45C9">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3DB49575" w14:textId="77777777" w:rsidR="003B45C9" w:rsidRPr="007829E4" w:rsidRDefault="003B45C9" w:rsidP="003B45C9">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7456" behindDoc="1" locked="0" layoutInCell="1" allowOverlap="1" wp14:anchorId="3B536D64" wp14:editId="0A987B29">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3D67D6C" w14:textId="77777777" w:rsidR="003B45C9" w:rsidRPr="007829E4" w:rsidRDefault="003B45C9" w:rsidP="003B45C9">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669682DB" w14:textId="77777777" w:rsidR="003B45C9" w:rsidRPr="007829E4" w:rsidRDefault="003B45C9" w:rsidP="003B45C9">
          <w:pPr>
            <w:pStyle w:val="Footer"/>
            <w:rPr>
              <w:u w:val="single"/>
            </w:rPr>
          </w:pPr>
          <w:r>
            <w:rPr>
              <w:rFonts w:ascii="Segoe UI" w:hAnsi="Segoe UI" w:cs="Segoe UI"/>
              <w:noProof/>
              <w:color w:val="002060"/>
              <w:sz w:val="12"/>
              <w:szCs w:val="12"/>
              <w:u w:val="single"/>
            </w:rPr>
            <w:drawing>
              <wp:anchor distT="0" distB="0" distL="114300" distR="114300" simplePos="0" relativeHeight="251668480" behindDoc="0" locked="0" layoutInCell="1" allowOverlap="1" wp14:anchorId="16B9819B" wp14:editId="65ADC324">
                <wp:simplePos x="0" y="0"/>
                <wp:positionH relativeFrom="column">
                  <wp:posOffset>-49775</wp:posOffset>
                </wp:positionH>
                <wp:positionV relativeFrom="paragraph">
                  <wp:posOffset>0</wp:posOffset>
                </wp:positionV>
                <wp:extent cx="109728" cy="109728"/>
                <wp:effectExtent l="0" t="0" r="5080" b="5080"/>
                <wp:wrapSquare wrapText="bothSides"/>
                <wp:docPr id="21" name="Picture 2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726F79B" w14:textId="77777777" w:rsidR="003B45C9" w:rsidRPr="007829E4" w:rsidRDefault="003B45C9" w:rsidP="003B45C9">
          <w:pPr>
            <w:pStyle w:val="Footer"/>
            <w:rPr>
              <w:u w:val="single"/>
            </w:rPr>
          </w:pPr>
          <w:r w:rsidRPr="007829E4">
            <w:rPr>
              <w:rFonts w:ascii="Segoe UI" w:hAnsi="Segoe UI" w:cs="Segoe UI"/>
              <w:color w:val="002060"/>
              <w:sz w:val="12"/>
              <w:szCs w:val="12"/>
              <w:u w:val="single"/>
            </w:rPr>
            <w:t>www.one.ro</w:t>
          </w:r>
        </w:p>
      </w:tc>
      <w:tc>
        <w:tcPr>
          <w:tcW w:w="270" w:type="dxa"/>
        </w:tcPr>
        <w:p w14:paraId="6CF5CC4C" w14:textId="77777777" w:rsidR="003B45C9" w:rsidRPr="00DC0E48" w:rsidRDefault="003B45C9" w:rsidP="003B45C9">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9504" behindDoc="0" locked="0" layoutInCell="1" allowOverlap="1" wp14:anchorId="56241FE2" wp14:editId="42E7F8D8">
                <wp:simplePos x="0" y="0"/>
                <wp:positionH relativeFrom="column">
                  <wp:posOffset>-39726</wp:posOffset>
                </wp:positionH>
                <wp:positionV relativeFrom="paragraph">
                  <wp:posOffset>1270</wp:posOffset>
                </wp:positionV>
                <wp:extent cx="109728" cy="109728"/>
                <wp:effectExtent l="0" t="0" r="5080" b="5080"/>
                <wp:wrapSquare wrapText="bothSides"/>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2CAB7B64" w14:textId="77777777" w:rsidR="003B45C9" w:rsidRPr="00DC0E48" w:rsidRDefault="003B45C9" w:rsidP="003B45C9">
          <w:pPr>
            <w:pStyle w:val="Footer"/>
            <w:rPr>
              <w:rFonts w:ascii="Segoe UI" w:hAnsi="Segoe UI" w:cs="Segoe UI"/>
              <w:color w:val="002060"/>
              <w:sz w:val="12"/>
              <w:szCs w:val="12"/>
            </w:rPr>
          </w:pPr>
        </w:p>
      </w:tc>
      <w:tc>
        <w:tcPr>
          <w:tcW w:w="3690" w:type="dxa"/>
        </w:tcPr>
        <w:p w14:paraId="49A987DD" w14:textId="77777777" w:rsidR="003B45C9" w:rsidRPr="00DC0E48" w:rsidRDefault="003B45C9" w:rsidP="003B45C9">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07CE0FA4" w14:textId="3AFBDAD2" w:rsidR="003B45C9" w:rsidRDefault="003B45C9" w:rsidP="003B45C9">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w:t>
          </w:r>
          <w:r w:rsidR="00156166">
            <w:rPr>
              <w:rFonts w:ascii="Segoe UI" w:hAnsi="Segoe UI" w:cs="Segoe UI"/>
              <w:color w:val="002060"/>
              <w:sz w:val="12"/>
              <w:szCs w:val="12"/>
            </w:rPr>
            <w:t>s</w:t>
          </w:r>
          <w:r w:rsidRPr="00DC0E48">
            <w:rPr>
              <w:rFonts w:ascii="Segoe UI" w:hAnsi="Segoe UI" w:cs="Segoe UI"/>
              <w:color w:val="002060"/>
              <w:sz w:val="12"/>
              <w:szCs w:val="12"/>
            </w:rPr>
            <w:t>ti</w:t>
          </w:r>
        </w:p>
        <w:p w14:paraId="073ABEB4" w14:textId="77777777" w:rsidR="003B45C9" w:rsidRDefault="003B45C9" w:rsidP="003B45C9">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7D1AC3C0"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A86D1" w14:textId="77777777" w:rsidR="004C25D7" w:rsidRDefault="004C25D7" w:rsidP="00A476D7">
      <w:r>
        <w:separator/>
      </w:r>
    </w:p>
  </w:footnote>
  <w:footnote w:type="continuationSeparator" w:id="0">
    <w:p w14:paraId="2C4019A6" w14:textId="77777777" w:rsidR="004C25D7" w:rsidRDefault="004C25D7" w:rsidP="00A476D7">
      <w:r>
        <w:continuationSeparator/>
      </w:r>
    </w:p>
  </w:footnote>
  <w:footnote w:type="continuationNotice" w:id="1">
    <w:p w14:paraId="44DBC1C6" w14:textId="77777777" w:rsidR="004C25D7" w:rsidRDefault="004C25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61130885"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6"/>
    </w:tblGrid>
    <w:tr w:rsidR="001162A5" w14:paraId="1389BD42" w14:textId="77777777" w:rsidTr="00BC4280">
      <w:trPr>
        <w:trHeight w:val="346"/>
      </w:trPr>
      <w:tc>
        <w:tcPr>
          <w:tcW w:w="10686" w:type="dxa"/>
          <w:vMerge w:val="restart"/>
          <w:vAlign w:val="center"/>
        </w:tcPr>
        <w:p w14:paraId="6B3A172D" w14:textId="4A4D03AC" w:rsidR="001162A5" w:rsidRDefault="001162A5" w:rsidP="00BC4280">
          <w:pPr>
            <w:pStyle w:val="Header"/>
            <w:jc w:val="center"/>
          </w:pPr>
          <w:r>
            <w:rPr>
              <w:noProof/>
            </w:rPr>
            <w:drawing>
              <wp:inline distT="0" distB="0" distL="0" distR="0" wp14:anchorId="0792AF9C" wp14:editId="2167AA26">
                <wp:extent cx="6645910" cy="1036320"/>
                <wp:effectExtent l="0" t="0" r="2540" b="0"/>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45910" cy="1036320"/>
                        </a:xfrm>
                        <a:prstGeom prst="rect">
                          <a:avLst/>
                        </a:prstGeom>
                      </pic:spPr>
                    </pic:pic>
                  </a:graphicData>
                </a:graphic>
              </wp:inline>
            </w:drawing>
          </w:r>
        </w:p>
      </w:tc>
    </w:tr>
    <w:tr w:rsidR="001162A5" w14:paraId="25448B45" w14:textId="77777777" w:rsidTr="001162A5">
      <w:trPr>
        <w:trHeight w:val="346"/>
      </w:trPr>
      <w:tc>
        <w:tcPr>
          <w:tcW w:w="10686" w:type="dxa"/>
          <w:vMerge/>
        </w:tcPr>
        <w:p w14:paraId="262E4B52" w14:textId="77777777" w:rsidR="001162A5" w:rsidRDefault="001162A5" w:rsidP="00447D15">
          <w:pPr>
            <w:pStyle w:val="Header"/>
            <w:rPr>
              <w:noProof/>
            </w:rPr>
          </w:pPr>
        </w:p>
      </w:tc>
    </w:tr>
    <w:tr w:rsidR="001162A5" w14:paraId="3E547DDC" w14:textId="77777777" w:rsidTr="001162A5">
      <w:trPr>
        <w:trHeight w:val="276"/>
      </w:trPr>
      <w:tc>
        <w:tcPr>
          <w:tcW w:w="10686" w:type="dxa"/>
          <w:vMerge/>
        </w:tcPr>
        <w:p w14:paraId="519F95E8" w14:textId="77777777" w:rsidR="001162A5" w:rsidRDefault="001162A5" w:rsidP="00447D15">
          <w:pPr>
            <w:pStyle w:val="Header"/>
            <w:rPr>
              <w:noProof/>
            </w:rPr>
          </w:pPr>
        </w:p>
      </w:tc>
    </w:tr>
    <w:tr w:rsidR="001162A5" w14:paraId="28615DB6" w14:textId="77777777" w:rsidTr="001162A5">
      <w:trPr>
        <w:trHeight w:val="346"/>
      </w:trPr>
      <w:tc>
        <w:tcPr>
          <w:tcW w:w="10686" w:type="dxa"/>
          <w:vMerge/>
        </w:tcPr>
        <w:p w14:paraId="4A6D2F4C" w14:textId="77777777" w:rsidR="001162A5" w:rsidRDefault="001162A5" w:rsidP="00447D15">
          <w:pPr>
            <w:pStyle w:val="Header"/>
            <w:rPr>
              <w:noProof/>
            </w:rPr>
          </w:pPr>
        </w:p>
      </w:tc>
    </w:tr>
  </w:tbl>
  <w:p w14:paraId="1D11EA66" w14:textId="6EBE52F9" w:rsidR="007B5FD2" w:rsidRPr="00E84CAE" w:rsidRDefault="007B5FD2" w:rsidP="00867B48">
    <w:pPr>
      <w:pStyle w:val="Header"/>
      <w:spacing w:line="276"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872"/>
    <w:multiLevelType w:val="hybridMultilevel"/>
    <w:tmpl w:val="92809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862B73"/>
    <w:multiLevelType w:val="hybridMultilevel"/>
    <w:tmpl w:val="1450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8234A"/>
    <w:multiLevelType w:val="hybridMultilevel"/>
    <w:tmpl w:val="00F64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45CC7"/>
    <w:multiLevelType w:val="hybridMultilevel"/>
    <w:tmpl w:val="F9EA232A"/>
    <w:lvl w:ilvl="0" w:tplc="591045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00214EF"/>
    <w:multiLevelType w:val="hybridMultilevel"/>
    <w:tmpl w:val="C016803A"/>
    <w:lvl w:ilvl="0" w:tplc="DAA45D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9FF58DB"/>
    <w:multiLevelType w:val="hybridMultilevel"/>
    <w:tmpl w:val="AF7CD0C6"/>
    <w:lvl w:ilvl="0" w:tplc="C54CAC14">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68601E"/>
    <w:multiLevelType w:val="hybridMultilevel"/>
    <w:tmpl w:val="355C8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E277CC"/>
    <w:multiLevelType w:val="hybridMultilevel"/>
    <w:tmpl w:val="5AC49F82"/>
    <w:lvl w:ilvl="0" w:tplc="B7C47C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35198"/>
    <w:multiLevelType w:val="hybridMultilevel"/>
    <w:tmpl w:val="F40A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1AA3CBD"/>
    <w:multiLevelType w:val="hybridMultilevel"/>
    <w:tmpl w:val="225C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7D5829"/>
    <w:multiLevelType w:val="hybridMultilevel"/>
    <w:tmpl w:val="1706A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79154442">
    <w:abstractNumId w:val="7"/>
  </w:num>
  <w:num w:numId="2" w16cid:durableId="83305016">
    <w:abstractNumId w:val="4"/>
  </w:num>
  <w:num w:numId="3" w16cid:durableId="1834683943">
    <w:abstractNumId w:val="10"/>
  </w:num>
  <w:num w:numId="4" w16cid:durableId="1472359523">
    <w:abstractNumId w:val="11"/>
  </w:num>
  <w:num w:numId="5" w16cid:durableId="1772436808">
    <w:abstractNumId w:val="13"/>
  </w:num>
  <w:num w:numId="6" w16cid:durableId="73475287">
    <w:abstractNumId w:val="5"/>
  </w:num>
  <w:num w:numId="7" w16cid:durableId="1842504390">
    <w:abstractNumId w:val="1"/>
  </w:num>
  <w:num w:numId="8" w16cid:durableId="1463186304">
    <w:abstractNumId w:val="12"/>
  </w:num>
  <w:num w:numId="9" w16cid:durableId="702052194">
    <w:abstractNumId w:val="9"/>
  </w:num>
  <w:num w:numId="10" w16cid:durableId="759526505">
    <w:abstractNumId w:val="8"/>
  </w:num>
  <w:num w:numId="11" w16cid:durableId="1927223720">
    <w:abstractNumId w:val="2"/>
  </w:num>
  <w:num w:numId="12" w16cid:durableId="490947451">
    <w:abstractNumId w:val="0"/>
  </w:num>
  <w:num w:numId="13" w16cid:durableId="1030035720">
    <w:abstractNumId w:val="14"/>
  </w:num>
  <w:num w:numId="14" w16cid:durableId="1206872607">
    <w:abstractNumId w:val="3"/>
  </w:num>
  <w:num w:numId="15" w16cid:durableId="61756710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4130"/>
    <w:rsid w:val="0000579A"/>
    <w:rsid w:val="00005AD9"/>
    <w:rsid w:val="00006DDE"/>
    <w:rsid w:val="00012443"/>
    <w:rsid w:val="00014D89"/>
    <w:rsid w:val="00016E52"/>
    <w:rsid w:val="00017E86"/>
    <w:rsid w:val="00021CD3"/>
    <w:rsid w:val="000232C6"/>
    <w:rsid w:val="000233DE"/>
    <w:rsid w:val="00024242"/>
    <w:rsid w:val="0002619E"/>
    <w:rsid w:val="000274A9"/>
    <w:rsid w:val="00033436"/>
    <w:rsid w:val="00033BFE"/>
    <w:rsid w:val="00034CE2"/>
    <w:rsid w:val="000418EF"/>
    <w:rsid w:val="000449AA"/>
    <w:rsid w:val="00044B2E"/>
    <w:rsid w:val="000500E5"/>
    <w:rsid w:val="000501DE"/>
    <w:rsid w:val="00054231"/>
    <w:rsid w:val="00055A26"/>
    <w:rsid w:val="00061AA2"/>
    <w:rsid w:val="00066F90"/>
    <w:rsid w:val="00075DD5"/>
    <w:rsid w:val="00076A15"/>
    <w:rsid w:val="0007726E"/>
    <w:rsid w:val="00086EE6"/>
    <w:rsid w:val="00087E18"/>
    <w:rsid w:val="00097E4E"/>
    <w:rsid w:val="000A074D"/>
    <w:rsid w:val="000A08AD"/>
    <w:rsid w:val="000A0B85"/>
    <w:rsid w:val="000A31BC"/>
    <w:rsid w:val="000A42D4"/>
    <w:rsid w:val="000A5593"/>
    <w:rsid w:val="000A6DD0"/>
    <w:rsid w:val="000A7A65"/>
    <w:rsid w:val="000B31F9"/>
    <w:rsid w:val="000B47BD"/>
    <w:rsid w:val="000B47D1"/>
    <w:rsid w:val="000C5C25"/>
    <w:rsid w:val="000D0048"/>
    <w:rsid w:val="000D3678"/>
    <w:rsid w:val="000D3B1F"/>
    <w:rsid w:val="000D63A3"/>
    <w:rsid w:val="000D756F"/>
    <w:rsid w:val="000D7920"/>
    <w:rsid w:val="000E3A37"/>
    <w:rsid w:val="000E739E"/>
    <w:rsid w:val="000F1F46"/>
    <w:rsid w:val="000F2E14"/>
    <w:rsid w:val="000F3C4D"/>
    <w:rsid w:val="000F4F24"/>
    <w:rsid w:val="000F52ED"/>
    <w:rsid w:val="0010289B"/>
    <w:rsid w:val="00106534"/>
    <w:rsid w:val="001072C3"/>
    <w:rsid w:val="00111B08"/>
    <w:rsid w:val="001123AB"/>
    <w:rsid w:val="001162A5"/>
    <w:rsid w:val="0012190B"/>
    <w:rsid w:val="00121BBD"/>
    <w:rsid w:val="001223EB"/>
    <w:rsid w:val="00122A02"/>
    <w:rsid w:val="00126734"/>
    <w:rsid w:val="001267BC"/>
    <w:rsid w:val="001350D7"/>
    <w:rsid w:val="001359EE"/>
    <w:rsid w:val="00137B66"/>
    <w:rsid w:val="001431FF"/>
    <w:rsid w:val="001439B6"/>
    <w:rsid w:val="001457DC"/>
    <w:rsid w:val="00150295"/>
    <w:rsid w:val="00156166"/>
    <w:rsid w:val="001577C0"/>
    <w:rsid w:val="0016372B"/>
    <w:rsid w:val="001642AB"/>
    <w:rsid w:val="00172A55"/>
    <w:rsid w:val="00177E59"/>
    <w:rsid w:val="00182212"/>
    <w:rsid w:val="001860D6"/>
    <w:rsid w:val="00190176"/>
    <w:rsid w:val="001923F1"/>
    <w:rsid w:val="00192943"/>
    <w:rsid w:val="00196B35"/>
    <w:rsid w:val="00197DEE"/>
    <w:rsid w:val="00197F12"/>
    <w:rsid w:val="001A07B3"/>
    <w:rsid w:val="001A1494"/>
    <w:rsid w:val="001A1734"/>
    <w:rsid w:val="001A534A"/>
    <w:rsid w:val="001A59E4"/>
    <w:rsid w:val="001A7C48"/>
    <w:rsid w:val="001B3226"/>
    <w:rsid w:val="001B46A3"/>
    <w:rsid w:val="001B4A9A"/>
    <w:rsid w:val="001C2296"/>
    <w:rsid w:val="001C25E9"/>
    <w:rsid w:val="001D055B"/>
    <w:rsid w:val="001D21CC"/>
    <w:rsid w:val="001D2888"/>
    <w:rsid w:val="001D28C5"/>
    <w:rsid w:val="001D3E08"/>
    <w:rsid w:val="001D4161"/>
    <w:rsid w:val="001D417E"/>
    <w:rsid w:val="001D6B71"/>
    <w:rsid w:val="001E0FD5"/>
    <w:rsid w:val="001E5BE9"/>
    <w:rsid w:val="001E632F"/>
    <w:rsid w:val="001E78CF"/>
    <w:rsid w:val="0022142C"/>
    <w:rsid w:val="00221487"/>
    <w:rsid w:val="00223481"/>
    <w:rsid w:val="00224BA4"/>
    <w:rsid w:val="00225A10"/>
    <w:rsid w:val="00231605"/>
    <w:rsid w:val="002322AB"/>
    <w:rsid w:val="00232F72"/>
    <w:rsid w:val="00237524"/>
    <w:rsid w:val="00237C1E"/>
    <w:rsid w:val="00241483"/>
    <w:rsid w:val="00242560"/>
    <w:rsid w:val="00243168"/>
    <w:rsid w:val="00243FEC"/>
    <w:rsid w:val="00246CA8"/>
    <w:rsid w:val="00257D4A"/>
    <w:rsid w:val="0026613F"/>
    <w:rsid w:val="00267E48"/>
    <w:rsid w:val="002700FD"/>
    <w:rsid w:val="00270D4B"/>
    <w:rsid w:val="00274853"/>
    <w:rsid w:val="002776F0"/>
    <w:rsid w:val="002778AE"/>
    <w:rsid w:val="002811F2"/>
    <w:rsid w:val="0028303E"/>
    <w:rsid w:val="0028308C"/>
    <w:rsid w:val="00296F63"/>
    <w:rsid w:val="002A1DD0"/>
    <w:rsid w:val="002A4694"/>
    <w:rsid w:val="002A53EF"/>
    <w:rsid w:val="002B54A0"/>
    <w:rsid w:val="002B5ED6"/>
    <w:rsid w:val="002B6E73"/>
    <w:rsid w:val="002C1800"/>
    <w:rsid w:val="002C410D"/>
    <w:rsid w:val="002C588E"/>
    <w:rsid w:val="002D1757"/>
    <w:rsid w:val="002D4083"/>
    <w:rsid w:val="002F5B86"/>
    <w:rsid w:val="00302A69"/>
    <w:rsid w:val="0031079F"/>
    <w:rsid w:val="003125A7"/>
    <w:rsid w:val="0031392A"/>
    <w:rsid w:val="00322BAB"/>
    <w:rsid w:val="003240D4"/>
    <w:rsid w:val="003327F1"/>
    <w:rsid w:val="00333F19"/>
    <w:rsid w:val="00335008"/>
    <w:rsid w:val="00337D28"/>
    <w:rsid w:val="0034201E"/>
    <w:rsid w:val="00343749"/>
    <w:rsid w:val="003509A8"/>
    <w:rsid w:val="003547AD"/>
    <w:rsid w:val="00356886"/>
    <w:rsid w:val="003741E1"/>
    <w:rsid w:val="0037481E"/>
    <w:rsid w:val="00376EB8"/>
    <w:rsid w:val="0038106C"/>
    <w:rsid w:val="00381BE0"/>
    <w:rsid w:val="00383C64"/>
    <w:rsid w:val="0038408E"/>
    <w:rsid w:val="00386A26"/>
    <w:rsid w:val="00392946"/>
    <w:rsid w:val="00395063"/>
    <w:rsid w:val="003A0F56"/>
    <w:rsid w:val="003A2A6E"/>
    <w:rsid w:val="003A57F3"/>
    <w:rsid w:val="003A6536"/>
    <w:rsid w:val="003B45C9"/>
    <w:rsid w:val="003B73BF"/>
    <w:rsid w:val="003B7425"/>
    <w:rsid w:val="003B7D51"/>
    <w:rsid w:val="003C2A1B"/>
    <w:rsid w:val="003D3908"/>
    <w:rsid w:val="003D4A56"/>
    <w:rsid w:val="003D5B5C"/>
    <w:rsid w:val="003D6DDD"/>
    <w:rsid w:val="003E499D"/>
    <w:rsid w:val="003E54C2"/>
    <w:rsid w:val="003F0EFB"/>
    <w:rsid w:val="003F2C85"/>
    <w:rsid w:val="003F364B"/>
    <w:rsid w:val="003F45DE"/>
    <w:rsid w:val="003F4CB9"/>
    <w:rsid w:val="0040206A"/>
    <w:rsid w:val="00404FE5"/>
    <w:rsid w:val="00410A44"/>
    <w:rsid w:val="0041122A"/>
    <w:rsid w:val="0041263B"/>
    <w:rsid w:val="0042776B"/>
    <w:rsid w:val="00427A98"/>
    <w:rsid w:val="00437559"/>
    <w:rsid w:val="00441E7A"/>
    <w:rsid w:val="004424D1"/>
    <w:rsid w:val="0044314B"/>
    <w:rsid w:val="0044324C"/>
    <w:rsid w:val="0044794A"/>
    <w:rsid w:val="00447D15"/>
    <w:rsid w:val="004501CA"/>
    <w:rsid w:val="00451883"/>
    <w:rsid w:val="00452C55"/>
    <w:rsid w:val="004546BC"/>
    <w:rsid w:val="0045550D"/>
    <w:rsid w:val="00457835"/>
    <w:rsid w:val="004622E7"/>
    <w:rsid w:val="00471DB3"/>
    <w:rsid w:val="00474E83"/>
    <w:rsid w:val="00480FFB"/>
    <w:rsid w:val="004817D9"/>
    <w:rsid w:val="00484E25"/>
    <w:rsid w:val="00485E91"/>
    <w:rsid w:val="004879FB"/>
    <w:rsid w:val="00490F5D"/>
    <w:rsid w:val="004954FE"/>
    <w:rsid w:val="00497C6B"/>
    <w:rsid w:val="004A1747"/>
    <w:rsid w:val="004A2218"/>
    <w:rsid w:val="004A513D"/>
    <w:rsid w:val="004B482B"/>
    <w:rsid w:val="004B4F48"/>
    <w:rsid w:val="004B6520"/>
    <w:rsid w:val="004C25D7"/>
    <w:rsid w:val="004D20F0"/>
    <w:rsid w:val="004D6E92"/>
    <w:rsid w:val="004E00A7"/>
    <w:rsid w:val="004E07A1"/>
    <w:rsid w:val="004E5CE5"/>
    <w:rsid w:val="004E60DA"/>
    <w:rsid w:val="004E75B5"/>
    <w:rsid w:val="004E75E5"/>
    <w:rsid w:val="004F5CF3"/>
    <w:rsid w:val="004F79A1"/>
    <w:rsid w:val="004F7F4F"/>
    <w:rsid w:val="00501C31"/>
    <w:rsid w:val="00506098"/>
    <w:rsid w:val="005119F8"/>
    <w:rsid w:val="00512003"/>
    <w:rsid w:val="00523916"/>
    <w:rsid w:val="005301D6"/>
    <w:rsid w:val="00531024"/>
    <w:rsid w:val="00532CC2"/>
    <w:rsid w:val="005457DD"/>
    <w:rsid w:val="00546481"/>
    <w:rsid w:val="005543A4"/>
    <w:rsid w:val="00557518"/>
    <w:rsid w:val="00561A57"/>
    <w:rsid w:val="00562C70"/>
    <w:rsid w:val="005641C1"/>
    <w:rsid w:val="005648BB"/>
    <w:rsid w:val="00571E8A"/>
    <w:rsid w:val="0058138C"/>
    <w:rsid w:val="00582C83"/>
    <w:rsid w:val="00585C86"/>
    <w:rsid w:val="00590287"/>
    <w:rsid w:val="0059087E"/>
    <w:rsid w:val="00593C23"/>
    <w:rsid w:val="0059437E"/>
    <w:rsid w:val="005A0EBF"/>
    <w:rsid w:val="005A2063"/>
    <w:rsid w:val="005A210A"/>
    <w:rsid w:val="005A2300"/>
    <w:rsid w:val="005A26F4"/>
    <w:rsid w:val="005A3E1C"/>
    <w:rsid w:val="005A4068"/>
    <w:rsid w:val="005A775E"/>
    <w:rsid w:val="005B115B"/>
    <w:rsid w:val="005B3103"/>
    <w:rsid w:val="005B6068"/>
    <w:rsid w:val="005C333B"/>
    <w:rsid w:val="005C5C7A"/>
    <w:rsid w:val="005C600A"/>
    <w:rsid w:val="005D14CB"/>
    <w:rsid w:val="005D1903"/>
    <w:rsid w:val="005E0AF2"/>
    <w:rsid w:val="005E3235"/>
    <w:rsid w:val="005F2969"/>
    <w:rsid w:val="005F2DD5"/>
    <w:rsid w:val="005F47C5"/>
    <w:rsid w:val="005F506D"/>
    <w:rsid w:val="005F6237"/>
    <w:rsid w:val="00600A6B"/>
    <w:rsid w:val="00602EF3"/>
    <w:rsid w:val="00607ED1"/>
    <w:rsid w:val="006106DB"/>
    <w:rsid w:val="00614B64"/>
    <w:rsid w:val="00623D5A"/>
    <w:rsid w:val="00625B46"/>
    <w:rsid w:val="0063076A"/>
    <w:rsid w:val="00631599"/>
    <w:rsid w:val="00634194"/>
    <w:rsid w:val="006357D3"/>
    <w:rsid w:val="0063718D"/>
    <w:rsid w:val="00637D0C"/>
    <w:rsid w:val="00641961"/>
    <w:rsid w:val="006424BC"/>
    <w:rsid w:val="00642D76"/>
    <w:rsid w:val="006438DA"/>
    <w:rsid w:val="00646B74"/>
    <w:rsid w:val="006507FB"/>
    <w:rsid w:val="00650913"/>
    <w:rsid w:val="00654ADD"/>
    <w:rsid w:val="00654BE5"/>
    <w:rsid w:val="006552ED"/>
    <w:rsid w:val="00660EC8"/>
    <w:rsid w:val="0066377B"/>
    <w:rsid w:val="00663F6A"/>
    <w:rsid w:val="00667745"/>
    <w:rsid w:val="00681ED3"/>
    <w:rsid w:val="00686E6E"/>
    <w:rsid w:val="00687B78"/>
    <w:rsid w:val="0069231B"/>
    <w:rsid w:val="00693D8E"/>
    <w:rsid w:val="00694453"/>
    <w:rsid w:val="00695E33"/>
    <w:rsid w:val="00696173"/>
    <w:rsid w:val="00697B24"/>
    <w:rsid w:val="006A0A6D"/>
    <w:rsid w:val="006B2331"/>
    <w:rsid w:val="006B2A8B"/>
    <w:rsid w:val="006B2EC4"/>
    <w:rsid w:val="006B4092"/>
    <w:rsid w:val="006B47FD"/>
    <w:rsid w:val="006B71FD"/>
    <w:rsid w:val="006D290C"/>
    <w:rsid w:val="006D2ABC"/>
    <w:rsid w:val="006D41B9"/>
    <w:rsid w:val="006E0910"/>
    <w:rsid w:val="006E0948"/>
    <w:rsid w:val="006E1CAD"/>
    <w:rsid w:val="006E3944"/>
    <w:rsid w:val="006F266B"/>
    <w:rsid w:val="006F2BFE"/>
    <w:rsid w:val="0070006E"/>
    <w:rsid w:val="00702504"/>
    <w:rsid w:val="00713AB4"/>
    <w:rsid w:val="007150FA"/>
    <w:rsid w:val="0071732B"/>
    <w:rsid w:val="0071782E"/>
    <w:rsid w:val="00720EAC"/>
    <w:rsid w:val="0072123C"/>
    <w:rsid w:val="007216DD"/>
    <w:rsid w:val="00721780"/>
    <w:rsid w:val="00725B1F"/>
    <w:rsid w:val="00730381"/>
    <w:rsid w:val="00730B02"/>
    <w:rsid w:val="00730C60"/>
    <w:rsid w:val="00731FA0"/>
    <w:rsid w:val="00734DFF"/>
    <w:rsid w:val="00735AFC"/>
    <w:rsid w:val="00736845"/>
    <w:rsid w:val="007407C1"/>
    <w:rsid w:val="007410B0"/>
    <w:rsid w:val="00745E62"/>
    <w:rsid w:val="0075285C"/>
    <w:rsid w:val="0075319D"/>
    <w:rsid w:val="00755DE0"/>
    <w:rsid w:val="00765AD0"/>
    <w:rsid w:val="00767DD6"/>
    <w:rsid w:val="00771F99"/>
    <w:rsid w:val="00772E54"/>
    <w:rsid w:val="00780932"/>
    <w:rsid w:val="007828F2"/>
    <w:rsid w:val="007861CB"/>
    <w:rsid w:val="00786FB4"/>
    <w:rsid w:val="00787D95"/>
    <w:rsid w:val="00790EAC"/>
    <w:rsid w:val="00791CF4"/>
    <w:rsid w:val="0079568C"/>
    <w:rsid w:val="0079654E"/>
    <w:rsid w:val="00796A9D"/>
    <w:rsid w:val="00796CD1"/>
    <w:rsid w:val="007A49A5"/>
    <w:rsid w:val="007A52F9"/>
    <w:rsid w:val="007A77B3"/>
    <w:rsid w:val="007B5974"/>
    <w:rsid w:val="007B5FD2"/>
    <w:rsid w:val="007C30B5"/>
    <w:rsid w:val="007C5229"/>
    <w:rsid w:val="007C785F"/>
    <w:rsid w:val="007D4B2F"/>
    <w:rsid w:val="007E0E93"/>
    <w:rsid w:val="007E32B8"/>
    <w:rsid w:val="007E7D2C"/>
    <w:rsid w:val="007F091B"/>
    <w:rsid w:val="007F1BE6"/>
    <w:rsid w:val="007F22B9"/>
    <w:rsid w:val="007F479C"/>
    <w:rsid w:val="007F766B"/>
    <w:rsid w:val="008045D1"/>
    <w:rsid w:val="00805084"/>
    <w:rsid w:val="0080595D"/>
    <w:rsid w:val="008103C0"/>
    <w:rsid w:val="00810DF3"/>
    <w:rsid w:val="008141E9"/>
    <w:rsid w:val="00815390"/>
    <w:rsid w:val="00815721"/>
    <w:rsid w:val="0082458C"/>
    <w:rsid w:val="00827EE2"/>
    <w:rsid w:val="00830DB9"/>
    <w:rsid w:val="00831235"/>
    <w:rsid w:val="00831D32"/>
    <w:rsid w:val="0083318C"/>
    <w:rsid w:val="00835020"/>
    <w:rsid w:val="00840B98"/>
    <w:rsid w:val="00841AB8"/>
    <w:rsid w:val="00842A78"/>
    <w:rsid w:val="00844B48"/>
    <w:rsid w:val="008465B3"/>
    <w:rsid w:val="00850F12"/>
    <w:rsid w:val="00856941"/>
    <w:rsid w:val="00861F9E"/>
    <w:rsid w:val="0086259A"/>
    <w:rsid w:val="00862620"/>
    <w:rsid w:val="00862831"/>
    <w:rsid w:val="008639D6"/>
    <w:rsid w:val="00863F8C"/>
    <w:rsid w:val="00865247"/>
    <w:rsid w:val="008656D0"/>
    <w:rsid w:val="00866C35"/>
    <w:rsid w:val="00867B48"/>
    <w:rsid w:val="00873541"/>
    <w:rsid w:val="008737CE"/>
    <w:rsid w:val="008765C5"/>
    <w:rsid w:val="00891AC1"/>
    <w:rsid w:val="008953A6"/>
    <w:rsid w:val="0089728B"/>
    <w:rsid w:val="00897456"/>
    <w:rsid w:val="008B1C18"/>
    <w:rsid w:val="008B613C"/>
    <w:rsid w:val="008C11E5"/>
    <w:rsid w:val="008C2347"/>
    <w:rsid w:val="008C6066"/>
    <w:rsid w:val="008D4CF6"/>
    <w:rsid w:val="008D5C6E"/>
    <w:rsid w:val="008E49CF"/>
    <w:rsid w:val="008F095B"/>
    <w:rsid w:val="008F0FFE"/>
    <w:rsid w:val="00906254"/>
    <w:rsid w:val="0090650E"/>
    <w:rsid w:val="00914C8A"/>
    <w:rsid w:val="00915620"/>
    <w:rsid w:val="009216B3"/>
    <w:rsid w:val="0092631B"/>
    <w:rsid w:val="00927EEC"/>
    <w:rsid w:val="00936965"/>
    <w:rsid w:val="009410B5"/>
    <w:rsid w:val="00942EB6"/>
    <w:rsid w:val="00945626"/>
    <w:rsid w:val="00947124"/>
    <w:rsid w:val="00951F02"/>
    <w:rsid w:val="00964A6E"/>
    <w:rsid w:val="00966D0F"/>
    <w:rsid w:val="0097017A"/>
    <w:rsid w:val="00971DD9"/>
    <w:rsid w:val="00973196"/>
    <w:rsid w:val="00975577"/>
    <w:rsid w:val="00975917"/>
    <w:rsid w:val="00980656"/>
    <w:rsid w:val="00981AD2"/>
    <w:rsid w:val="0098584C"/>
    <w:rsid w:val="009861C2"/>
    <w:rsid w:val="00992BAD"/>
    <w:rsid w:val="00993153"/>
    <w:rsid w:val="00994792"/>
    <w:rsid w:val="009A0345"/>
    <w:rsid w:val="009A2C62"/>
    <w:rsid w:val="009A7D15"/>
    <w:rsid w:val="009B21BE"/>
    <w:rsid w:val="009B2BA1"/>
    <w:rsid w:val="009B2DCC"/>
    <w:rsid w:val="009B793C"/>
    <w:rsid w:val="009C3E08"/>
    <w:rsid w:val="009C492C"/>
    <w:rsid w:val="009C662E"/>
    <w:rsid w:val="009D62DA"/>
    <w:rsid w:val="009E7DD8"/>
    <w:rsid w:val="009F4ED5"/>
    <w:rsid w:val="00A1276A"/>
    <w:rsid w:val="00A13007"/>
    <w:rsid w:val="00A15C68"/>
    <w:rsid w:val="00A17811"/>
    <w:rsid w:val="00A20322"/>
    <w:rsid w:val="00A2165D"/>
    <w:rsid w:val="00A259EE"/>
    <w:rsid w:val="00A27CE5"/>
    <w:rsid w:val="00A36340"/>
    <w:rsid w:val="00A43B44"/>
    <w:rsid w:val="00A476D7"/>
    <w:rsid w:val="00A512B2"/>
    <w:rsid w:val="00A512FB"/>
    <w:rsid w:val="00A52CBE"/>
    <w:rsid w:val="00A5616C"/>
    <w:rsid w:val="00A56876"/>
    <w:rsid w:val="00A568E8"/>
    <w:rsid w:val="00A62D70"/>
    <w:rsid w:val="00A67D4C"/>
    <w:rsid w:val="00A70A70"/>
    <w:rsid w:val="00A73AEB"/>
    <w:rsid w:val="00A7576B"/>
    <w:rsid w:val="00A8141E"/>
    <w:rsid w:val="00A81B96"/>
    <w:rsid w:val="00A81E60"/>
    <w:rsid w:val="00A82568"/>
    <w:rsid w:val="00A864AB"/>
    <w:rsid w:val="00A913EF"/>
    <w:rsid w:val="00A928CF"/>
    <w:rsid w:val="00A9344E"/>
    <w:rsid w:val="00AA03C2"/>
    <w:rsid w:val="00AA1A54"/>
    <w:rsid w:val="00AA6370"/>
    <w:rsid w:val="00AB43EA"/>
    <w:rsid w:val="00AB4963"/>
    <w:rsid w:val="00AB51EC"/>
    <w:rsid w:val="00AB75A0"/>
    <w:rsid w:val="00AB79C2"/>
    <w:rsid w:val="00AC0C38"/>
    <w:rsid w:val="00AC1A17"/>
    <w:rsid w:val="00AC347A"/>
    <w:rsid w:val="00AC6AAF"/>
    <w:rsid w:val="00AE04E3"/>
    <w:rsid w:val="00AE15C1"/>
    <w:rsid w:val="00AE2965"/>
    <w:rsid w:val="00AF0085"/>
    <w:rsid w:val="00AF2CB1"/>
    <w:rsid w:val="00B001FF"/>
    <w:rsid w:val="00B10088"/>
    <w:rsid w:val="00B13339"/>
    <w:rsid w:val="00B1758B"/>
    <w:rsid w:val="00B240DE"/>
    <w:rsid w:val="00B35DBE"/>
    <w:rsid w:val="00B37289"/>
    <w:rsid w:val="00B37CDC"/>
    <w:rsid w:val="00B41ECC"/>
    <w:rsid w:val="00B44CCD"/>
    <w:rsid w:val="00B6018A"/>
    <w:rsid w:val="00B60EE5"/>
    <w:rsid w:val="00B61434"/>
    <w:rsid w:val="00B62E01"/>
    <w:rsid w:val="00B71E7B"/>
    <w:rsid w:val="00B75837"/>
    <w:rsid w:val="00B76474"/>
    <w:rsid w:val="00B76D44"/>
    <w:rsid w:val="00B81AFB"/>
    <w:rsid w:val="00B82BF6"/>
    <w:rsid w:val="00B855AE"/>
    <w:rsid w:val="00B86182"/>
    <w:rsid w:val="00B93A88"/>
    <w:rsid w:val="00B95447"/>
    <w:rsid w:val="00BA02E3"/>
    <w:rsid w:val="00BA1389"/>
    <w:rsid w:val="00BA7A6C"/>
    <w:rsid w:val="00BA7B4D"/>
    <w:rsid w:val="00BB08C3"/>
    <w:rsid w:val="00BB0B19"/>
    <w:rsid w:val="00BB118F"/>
    <w:rsid w:val="00BB5D22"/>
    <w:rsid w:val="00BB77B2"/>
    <w:rsid w:val="00BC2E2B"/>
    <w:rsid w:val="00BC4280"/>
    <w:rsid w:val="00BC6637"/>
    <w:rsid w:val="00BC7312"/>
    <w:rsid w:val="00BC737C"/>
    <w:rsid w:val="00BD20C0"/>
    <w:rsid w:val="00BD360C"/>
    <w:rsid w:val="00BE036D"/>
    <w:rsid w:val="00BE176B"/>
    <w:rsid w:val="00BE2E59"/>
    <w:rsid w:val="00BE378D"/>
    <w:rsid w:val="00BF236A"/>
    <w:rsid w:val="00BF796E"/>
    <w:rsid w:val="00C01D4D"/>
    <w:rsid w:val="00C02D05"/>
    <w:rsid w:val="00C05AE9"/>
    <w:rsid w:val="00C05CB7"/>
    <w:rsid w:val="00C062E4"/>
    <w:rsid w:val="00C12871"/>
    <w:rsid w:val="00C1401E"/>
    <w:rsid w:val="00C22507"/>
    <w:rsid w:val="00C230D3"/>
    <w:rsid w:val="00C23E9B"/>
    <w:rsid w:val="00C2441D"/>
    <w:rsid w:val="00C31FC1"/>
    <w:rsid w:val="00C336DA"/>
    <w:rsid w:val="00C37F05"/>
    <w:rsid w:val="00C40428"/>
    <w:rsid w:val="00C46FD6"/>
    <w:rsid w:val="00C47395"/>
    <w:rsid w:val="00C551FF"/>
    <w:rsid w:val="00C620A9"/>
    <w:rsid w:val="00C667B6"/>
    <w:rsid w:val="00C758A8"/>
    <w:rsid w:val="00C82628"/>
    <w:rsid w:val="00C87D3E"/>
    <w:rsid w:val="00C87DE9"/>
    <w:rsid w:val="00C9485E"/>
    <w:rsid w:val="00C94E91"/>
    <w:rsid w:val="00CA4C82"/>
    <w:rsid w:val="00CB2196"/>
    <w:rsid w:val="00CB3B4F"/>
    <w:rsid w:val="00CB4F46"/>
    <w:rsid w:val="00CD0F2F"/>
    <w:rsid w:val="00CD15FF"/>
    <w:rsid w:val="00CD1E71"/>
    <w:rsid w:val="00CD586D"/>
    <w:rsid w:val="00CD715D"/>
    <w:rsid w:val="00CE161F"/>
    <w:rsid w:val="00CE5E7D"/>
    <w:rsid w:val="00CF42AC"/>
    <w:rsid w:val="00CF518A"/>
    <w:rsid w:val="00CF563D"/>
    <w:rsid w:val="00CF627F"/>
    <w:rsid w:val="00CF6701"/>
    <w:rsid w:val="00D00BBC"/>
    <w:rsid w:val="00D01CB6"/>
    <w:rsid w:val="00D05747"/>
    <w:rsid w:val="00D11FFC"/>
    <w:rsid w:val="00D12EEA"/>
    <w:rsid w:val="00D22F49"/>
    <w:rsid w:val="00D232B9"/>
    <w:rsid w:val="00D27A8E"/>
    <w:rsid w:val="00D337FA"/>
    <w:rsid w:val="00D370E3"/>
    <w:rsid w:val="00D37849"/>
    <w:rsid w:val="00D37F2C"/>
    <w:rsid w:val="00D43B31"/>
    <w:rsid w:val="00D462CF"/>
    <w:rsid w:val="00D54A15"/>
    <w:rsid w:val="00D55031"/>
    <w:rsid w:val="00D6262B"/>
    <w:rsid w:val="00D6455C"/>
    <w:rsid w:val="00D65791"/>
    <w:rsid w:val="00D66B7E"/>
    <w:rsid w:val="00D70454"/>
    <w:rsid w:val="00D720BA"/>
    <w:rsid w:val="00D7230B"/>
    <w:rsid w:val="00D72D1F"/>
    <w:rsid w:val="00D77647"/>
    <w:rsid w:val="00D83D4B"/>
    <w:rsid w:val="00D8771C"/>
    <w:rsid w:val="00D92A31"/>
    <w:rsid w:val="00D97263"/>
    <w:rsid w:val="00DA1A3D"/>
    <w:rsid w:val="00DA1DBB"/>
    <w:rsid w:val="00DA2B01"/>
    <w:rsid w:val="00DA2B64"/>
    <w:rsid w:val="00DA3B8D"/>
    <w:rsid w:val="00DA5D67"/>
    <w:rsid w:val="00DA62F3"/>
    <w:rsid w:val="00DB101A"/>
    <w:rsid w:val="00DB1DFF"/>
    <w:rsid w:val="00DB4C08"/>
    <w:rsid w:val="00DB4D8B"/>
    <w:rsid w:val="00DB6B85"/>
    <w:rsid w:val="00DC0785"/>
    <w:rsid w:val="00DC16B1"/>
    <w:rsid w:val="00DC7186"/>
    <w:rsid w:val="00DD03BB"/>
    <w:rsid w:val="00DD0921"/>
    <w:rsid w:val="00DD125A"/>
    <w:rsid w:val="00DD3ABF"/>
    <w:rsid w:val="00DE0B0D"/>
    <w:rsid w:val="00DE1BB1"/>
    <w:rsid w:val="00DE1CE9"/>
    <w:rsid w:val="00DE2C15"/>
    <w:rsid w:val="00DE399D"/>
    <w:rsid w:val="00DF437E"/>
    <w:rsid w:val="00DF5409"/>
    <w:rsid w:val="00DF6EDD"/>
    <w:rsid w:val="00DF74CC"/>
    <w:rsid w:val="00E027C8"/>
    <w:rsid w:val="00E07C59"/>
    <w:rsid w:val="00E10225"/>
    <w:rsid w:val="00E112F2"/>
    <w:rsid w:val="00E12DB2"/>
    <w:rsid w:val="00E141B6"/>
    <w:rsid w:val="00E17411"/>
    <w:rsid w:val="00E21095"/>
    <w:rsid w:val="00E22F97"/>
    <w:rsid w:val="00E248B1"/>
    <w:rsid w:val="00E25501"/>
    <w:rsid w:val="00E25E40"/>
    <w:rsid w:val="00E40C97"/>
    <w:rsid w:val="00E565D9"/>
    <w:rsid w:val="00E664D0"/>
    <w:rsid w:val="00E716EF"/>
    <w:rsid w:val="00E7752A"/>
    <w:rsid w:val="00E80175"/>
    <w:rsid w:val="00E81CAB"/>
    <w:rsid w:val="00E841E6"/>
    <w:rsid w:val="00E84CAE"/>
    <w:rsid w:val="00E923A8"/>
    <w:rsid w:val="00E92F98"/>
    <w:rsid w:val="00E9705E"/>
    <w:rsid w:val="00EA1702"/>
    <w:rsid w:val="00EA6BE0"/>
    <w:rsid w:val="00EB0937"/>
    <w:rsid w:val="00EB0D12"/>
    <w:rsid w:val="00EB2FE6"/>
    <w:rsid w:val="00EB448C"/>
    <w:rsid w:val="00EB550D"/>
    <w:rsid w:val="00EB6A2A"/>
    <w:rsid w:val="00ED1197"/>
    <w:rsid w:val="00ED5001"/>
    <w:rsid w:val="00EE030C"/>
    <w:rsid w:val="00EE6B17"/>
    <w:rsid w:val="00EE6B73"/>
    <w:rsid w:val="00EF3727"/>
    <w:rsid w:val="00EF56BF"/>
    <w:rsid w:val="00EF7541"/>
    <w:rsid w:val="00EF7EF1"/>
    <w:rsid w:val="00F10B0A"/>
    <w:rsid w:val="00F10DF5"/>
    <w:rsid w:val="00F30480"/>
    <w:rsid w:val="00F37C0C"/>
    <w:rsid w:val="00F41017"/>
    <w:rsid w:val="00F47C25"/>
    <w:rsid w:val="00F54512"/>
    <w:rsid w:val="00F606B3"/>
    <w:rsid w:val="00F6365B"/>
    <w:rsid w:val="00F64788"/>
    <w:rsid w:val="00F72886"/>
    <w:rsid w:val="00F80F8A"/>
    <w:rsid w:val="00F81DEA"/>
    <w:rsid w:val="00F8324B"/>
    <w:rsid w:val="00F834D4"/>
    <w:rsid w:val="00F876BE"/>
    <w:rsid w:val="00F91D74"/>
    <w:rsid w:val="00FA1E06"/>
    <w:rsid w:val="00FA40F0"/>
    <w:rsid w:val="00FA41D8"/>
    <w:rsid w:val="00FA7A6B"/>
    <w:rsid w:val="00FB04BF"/>
    <w:rsid w:val="00FB230B"/>
    <w:rsid w:val="00FB4735"/>
    <w:rsid w:val="00FD21CE"/>
    <w:rsid w:val="00FD2641"/>
    <w:rsid w:val="00FD3F36"/>
    <w:rsid w:val="00FD5F80"/>
    <w:rsid w:val="00FD7330"/>
    <w:rsid w:val="00FE023A"/>
    <w:rsid w:val="00FE201F"/>
    <w:rsid w:val="00FE39A1"/>
    <w:rsid w:val="00FE506C"/>
    <w:rsid w:val="00FE778D"/>
    <w:rsid w:val="00FF145B"/>
    <w:rsid w:val="00FF49CF"/>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174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1"/>
      </w:numPr>
    </w:pPr>
  </w:style>
  <w:style w:type="numbering" w:customStyle="1" w:styleId="Style2">
    <w:name w:val="Style2"/>
    <w:basedOn w:val="NoList"/>
    <w:uiPriority w:val="99"/>
    <w:rsid w:val="00DA3B8D"/>
    <w:pPr>
      <w:numPr>
        <w:numId w:val="2"/>
      </w:numPr>
    </w:pPr>
  </w:style>
  <w:style w:type="character" w:customStyle="1" w:styleId="StyleTextContractBoldChar">
    <w:name w:val="Style Text Contract + Bold Char"/>
    <w:rsid w:val="006357D3"/>
    <w:rPr>
      <w:rFonts w:ascii="Arial" w:hAnsi="Arial" w:cs="Arial"/>
      <w:b/>
      <w:bCs/>
      <w:sz w:val="22"/>
      <w:lang w:val="ro-RO" w:bidi="ar-SA"/>
    </w:rPr>
  </w:style>
  <w:style w:type="paragraph" w:styleId="Revision">
    <w:name w:val="Revision"/>
    <w:hidden/>
    <w:uiPriority w:val="99"/>
    <w:semiHidden/>
    <w:rsid w:val="00AB43EA"/>
    <w:pPr>
      <w:spacing w:after="0" w:line="240" w:lineRule="auto"/>
    </w:pPr>
    <w:rPr>
      <w:rFonts w:ascii="Times New Roman" w:eastAsia="Times New Roman" w:hAnsi="Times New Roman" w:cs="Times New Roman"/>
      <w:sz w:val="24"/>
      <w:szCs w:val="24"/>
    </w:rPr>
  </w:style>
  <w:style w:type="paragraph" w:customStyle="1" w:styleId="norm">
    <w:name w:val="norm"/>
    <w:basedOn w:val="Normal"/>
    <w:rsid w:val="00947124"/>
    <w:pPr>
      <w:spacing w:before="100" w:beforeAutospacing="1" w:after="100" w:afterAutospacing="1"/>
    </w:pPr>
  </w:style>
  <w:style w:type="character" w:customStyle="1" w:styleId="no-parag">
    <w:name w:val="no-parag"/>
    <w:basedOn w:val="DefaultParagraphFont"/>
    <w:rsid w:val="00947124"/>
  </w:style>
  <w:style w:type="character" w:customStyle="1" w:styleId="Heading1Char">
    <w:name w:val="Heading 1 Char"/>
    <w:basedOn w:val="DefaultParagraphFont"/>
    <w:link w:val="Heading1"/>
    <w:uiPriority w:val="9"/>
    <w:rsid w:val="00E1741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1964352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05217549">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297569882">
      <w:bodyDiv w:val="1"/>
      <w:marLeft w:val="0"/>
      <w:marRight w:val="0"/>
      <w:marTop w:val="0"/>
      <w:marBottom w:val="0"/>
      <w:divBdr>
        <w:top w:val="none" w:sz="0" w:space="0" w:color="auto"/>
        <w:left w:val="none" w:sz="0" w:space="0" w:color="auto"/>
        <w:bottom w:val="none" w:sz="0" w:space="0" w:color="auto"/>
        <w:right w:val="none" w:sz="0" w:space="0" w:color="auto"/>
      </w:divBdr>
      <w:divsChild>
        <w:div w:id="1431119401">
          <w:marLeft w:val="0"/>
          <w:marRight w:val="0"/>
          <w:marTop w:val="0"/>
          <w:marBottom w:val="0"/>
          <w:divBdr>
            <w:top w:val="none" w:sz="0" w:space="0" w:color="auto"/>
            <w:left w:val="none" w:sz="0" w:space="0" w:color="auto"/>
            <w:bottom w:val="none" w:sz="0" w:space="0" w:color="auto"/>
            <w:right w:val="none" w:sz="0" w:space="0" w:color="auto"/>
          </w:divBdr>
          <w:divsChild>
            <w:div w:id="1935740871">
              <w:marLeft w:val="0"/>
              <w:marRight w:val="0"/>
              <w:marTop w:val="0"/>
              <w:marBottom w:val="0"/>
              <w:divBdr>
                <w:top w:val="none" w:sz="0" w:space="0" w:color="auto"/>
                <w:left w:val="none" w:sz="0" w:space="0" w:color="auto"/>
                <w:bottom w:val="none" w:sz="0" w:space="0" w:color="auto"/>
                <w:right w:val="none" w:sz="0" w:space="0" w:color="auto"/>
              </w:divBdr>
              <w:divsChild>
                <w:div w:id="1885437876">
                  <w:marLeft w:val="0"/>
                  <w:marRight w:val="0"/>
                  <w:marTop w:val="0"/>
                  <w:marBottom w:val="0"/>
                  <w:divBdr>
                    <w:top w:val="none" w:sz="0" w:space="0" w:color="auto"/>
                    <w:left w:val="none" w:sz="0" w:space="0" w:color="auto"/>
                    <w:bottom w:val="none" w:sz="0" w:space="0" w:color="auto"/>
                    <w:right w:val="none" w:sz="0" w:space="0" w:color="auto"/>
                  </w:divBdr>
                  <w:divsChild>
                    <w:div w:id="1023552376">
                      <w:marLeft w:val="0"/>
                      <w:marRight w:val="0"/>
                      <w:marTop w:val="120"/>
                      <w:marBottom w:val="0"/>
                      <w:divBdr>
                        <w:top w:val="none" w:sz="0" w:space="0" w:color="auto"/>
                        <w:left w:val="none" w:sz="0" w:space="0" w:color="auto"/>
                        <w:bottom w:val="none" w:sz="0" w:space="0" w:color="auto"/>
                        <w:right w:val="none" w:sz="0" w:space="0" w:color="auto"/>
                      </w:divBdr>
                    </w:div>
                    <w:div w:id="773476954">
                      <w:marLeft w:val="0"/>
                      <w:marRight w:val="0"/>
                      <w:marTop w:val="0"/>
                      <w:marBottom w:val="0"/>
                      <w:divBdr>
                        <w:top w:val="none" w:sz="0" w:space="0" w:color="auto"/>
                        <w:left w:val="none" w:sz="0" w:space="0" w:color="auto"/>
                        <w:bottom w:val="none" w:sz="0" w:space="0" w:color="auto"/>
                        <w:right w:val="none" w:sz="0" w:space="0" w:color="auto"/>
                      </w:divBdr>
                    </w:div>
                  </w:divsChild>
                </w:div>
                <w:div w:id="1212234678">
                  <w:marLeft w:val="0"/>
                  <w:marRight w:val="0"/>
                  <w:marTop w:val="0"/>
                  <w:marBottom w:val="0"/>
                  <w:divBdr>
                    <w:top w:val="none" w:sz="0" w:space="0" w:color="auto"/>
                    <w:left w:val="none" w:sz="0" w:space="0" w:color="auto"/>
                    <w:bottom w:val="none" w:sz="0" w:space="0" w:color="auto"/>
                    <w:right w:val="none" w:sz="0" w:space="0" w:color="auto"/>
                  </w:divBdr>
                  <w:divsChild>
                    <w:div w:id="1545408406">
                      <w:marLeft w:val="0"/>
                      <w:marRight w:val="0"/>
                      <w:marTop w:val="120"/>
                      <w:marBottom w:val="0"/>
                      <w:divBdr>
                        <w:top w:val="none" w:sz="0" w:space="0" w:color="auto"/>
                        <w:left w:val="none" w:sz="0" w:space="0" w:color="auto"/>
                        <w:bottom w:val="none" w:sz="0" w:space="0" w:color="auto"/>
                        <w:right w:val="none" w:sz="0" w:space="0" w:color="auto"/>
                      </w:divBdr>
                    </w:div>
                    <w:div w:id="1846439472">
                      <w:marLeft w:val="0"/>
                      <w:marRight w:val="0"/>
                      <w:marTop w:val="0"/>
                      <w:marBottom w:val="0"/>
                      <w:divBdr>
                        <w:top w:val="none" w:sz="0" w:space="0" w:color="auto"/>
                        <w:left w:val="none" w:sz="0" w:space="0" w:color="auto"/>
                        <w:bottom w:val="none" w:sz="0" w:space="0" w:color="auto"/>
                        <w:right w:val="none" w:sz="0" w:space="0" w:color="auto"/>
                      </w:divBdr>
                    </w:div>
                  </w:divsChild>
                </w:div>
                <w:div w:id="476072678">
                  <w:marLeft w:val="0"/>
                  <w:marRight w:val="0"/>
                  <w:marTop w:val="0"/>
                  <w:marBottom w:val="0"/>
                  <w:divBdr>
                    <w:top w:val="none" w:sz="0" w:space="0" w:color="auto"/>
                    <w:left w:val="none" w:sz="0" w:space="0" w:color="auto"/>
                    <w:bottom w:val="none" w:sz="0" w:space="0" w:color="auto"/>
                    <w:right w:val="none" w:sz="0" w:space="0" w:color="auto"/>
                  </w:divBdr>
                  <w:divsChild>
                    <w:div w:id="1111703485">
                      <w:marLeft w:val="0"/>
                      <w:marRight w:val="0"/>
                      <w:marTop w:val="120"/>
                      <w:marBottom w:val="0"/>
                      <w:divBdr>
                        <w:top w:val="none" w:sz="0" w:space="0" w:color="auto"/>
                        <w:left w:val="none" w:sz="0" w:space="0" w:color="auto"/>
                        <w:bottom w:val="none" w:sz="0" w:space="0" w:color="auto"/>
                        <w:right w:val="none" w:sz="0" w:space="0" w:color="auto"/>
                      </w:divBdr>
                    </w:div>
                    <w:div w:id="1402869345">
                      <w:marLeft w:val="0"/>
                      <w:marRight w:val="0"/>
                      <w:marTop w:val="0"/>
                      <w:marBottom w:val="0"/>
                      <w:divBdr>
                        <w:top w:val="none" w:sz="0" w:space="0" w:color="auto"/>
                        <w:left w:val="none" w:sz="0" w:space="0" w:color="auto"/>
                        <w:bottom w:val="none" w:sz="0" w:space="0" w:color="auto"/>
                        <w:right w:val="none" w:sz="0" w:space="0" w:color="auto"/>
                      </w:divBdr>
                    </w:div>
                  </w:divsChild>
                </w:div>
                <w:div w:id="1491096945">
                  <w:marLeft w:val="0"/>
                  <w:marRight w:val="0"/>
                  <w:marTop w:val="0"/>
                  <w:marBottom w:val="0"/>
                  <w:divBdr>
                    <w:top w:val="none" w:sz="0" w:space="0" w:color="auto"/>
                    <w:left w:val="none" w:sz="0" w:space="0" w:color="auto"/>
                    <w:bottom w:val="none" w:sz="0" w:space="0" w:color="auto"/>
                    <w:right w:val="none" w:sz="0" w:space="0" w:color="auto"/>
                  </w:divBdr>
                  <w:divsChild>
                    <w:div w:id="2060083399">
                      <w:marLeft w:val="0"/>
                      <w:marRight w:val="0"/>
                      <w:marTop w:val="120"/>
                      <w:marBottom w:val="0"/>
                      <w:divBdr>
                        <w:top w:val="none" w:sz="0" w:space="0" w:color="auto"/>
                        <w:left w:val="none" w:sz="0" w:space="0" w:color="auto"/>
                        <w:bottom w:val="none" w:sz="0" w:space="0" w:color="auto"/>
                        <w:right w:val="none" w:sz="0" w:space="0" w:color="auto"/>
                      </w:divBdr>
                    </w:div>
                    <w:div w:id="123466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37052">
          <w:marLeft w:val="0"/>
          <w:marRight w:val="0"/>
          <w:marTop w:val="0"/>
          <w:marBottom w:val="0"/>
          <w:divBdr>
            <w:top w:val="none" w:sz="0" w:space="0" w:color="auto"/>
            <w:left w:val="none" w:sz="0" w:space="0" w:color="auto"/>
            <w:bottom w:val="none" w:sz="0" w:space="0" w:color="auto"/>
            <w:right w:val="none" w:sz="0" w:space="0" w:color="auto"/>
          </w:divBdr>
          <w:divsChild>
            <w:div w:id="1523862596">
              <w:marLeft w:val="0"/>
              <w:marRight w:val="0"/>
              <w:marTop w:val="0"/>
              <w:marBottom w:val="0"/>
              <w:divBdr>
                <w:top w:val="none" w:sz="0" w:space="0" w:color="auto"/>
                <w:left w:val="none" w:sz="0" w:space="0" w:color="auto"/>
                <w:bottom w:val="none" w:sz="0" w:space="0" w:color="auto"/>
                <w:right w:val="none" w:sz="0" w:space="0" w:color="auto"/>
              </w:divBdr>
              <w:divsChild>
                <w:div w:id="1574772796">
                  <w:marLeft w:val="0"/>
                  <w:marRight w:val="0"/>
                  <w:marTop w:val="0"/>
                  <w:marBottom w:val="0"/>
                  <w:divBdr>
                    <w:top w:val="none" w:sz="0" w:space="0" w:color="auto"/>
                    <w:left w:val="none" w:sz="0" w:space="0" w:color="auto"/>
                    <w:bottom w:val="none" w:sz="0" w:space="0" w:color="auto"/>
                    <w:right w:val="none" w:sz="0" w:space="0" w:color="auto"/>
                  </w:divBdr>
                  <w:divsChild>
                    <w:div w:id="1934628271">
                      <w:marLeft w:val="0"/>
                      <w:marRight w:val="0"/>
                      <w:marTop w:val="120"/>
                      <w:marBottom w:val="0"/>
                      <w:divBdr>
                        <w:top w:val="none" w:sz="0" w:space="0" w:color="auto"/>
                        <w:left w:val="none" w:sz="0" w:space="0" w:color="auto"/>
                        <w:bottom w:val="none" w:sz="0" w:space="0" w:color="auto"/>
                        <w:right w:val="none" w:sz="0" w:space="0" w:color="auto"/>
                      </w:divBdr>
                    </w:div>
                    <w:div w:id="1647589339">
                      <w:marLeft w:val="0"/>
                      <w:marRight w:val="0"/>
                      <w:marTop w:val="0"/>
                      <w:marBottom w:val="0"/>
                      <w:divBdr>
                        <w:top w:val="none" w:sz="0" w:space="0" w:color="auto"/>
                        <w:left w:val="none" w:sz="0" w:space="0" w:color="auto"/>
                        <w:bottom w:val="none" w:sz="0" w:space="0" w:color="auto"/>
                        <w:right w:val="none" w:sz="0" w:space="0" w:color="auto"/>
                      </w:divBdr>
                    </w:div>
                  </w:divsChild>
                </w:div>
                <w:div w:id="1857573518">
                  <w:marLeft w:val="0"/>
                  <w:marRight w:val="0"/>
                  <w:marTop w:val="0"/>
                  <w:marBottom w:val="0"/>
                  <w:divBdr>
                    <w:top w:val="none" w:sz="0" w:space="0" w:color="auto"/>
                    <w:left w:val="none" w:sz="0" w:space="0" w:color="auto"/>
                    <w:bottom w:val="none" w:sz="0" w:space="0" w:color="auto"/>
                    <w:right w:val="none" w:sz="0" w:space="0" w:color="auto"/>
                  </w:divBdr>
                  <w:divsChild>
                    <w:div w:id="552228719">
                      <w:marLeft w:val="0"/>
                      <w:marRight w:val="0"/>
                      <w:marTop w:val="120"/>
                      <w:marBottom w:val="0"/>
                      <w:divBdr>
                        <w:top w:val="none" w:sz="0" w:space="0" w:color="auto"/>
                        <w:left w:val="none" w:sz="0" w:space="0" w:color="auto"/>
                        <w:bottom w:val="none" w:sz="0" w:space="0" w:color="auto"/>
                        <w:right w:val="none" w:sz="0" w:space="0" w:color="auto"/>
                      </w:divBdr>
                    </w:div>
                    <w:div w:id="1337460829">
                      <w:marLeft w:val="0"/>
                      <w:marRight w:val="0"/>
                      <w:marTop w:val="0"/>
                      <w:marBottom w:val="0"/>
                      <w:divBdr>
                        <w:top w:val="none" w:sz="0" w:space="0" w:color="auto"/>
                        <w:left w:val="none" w:sz="0" w:space="0" w:color="auto"/>
                        <w:bottom w:val="none" w:sz="0" w:space="0" w:color="auto"/>
                        <w:right w:val="none" w:sz="0" w:space="0" w:color="auto"/>
                      </w:divBdr>
                    </w:div>
                  </w:divsChild>
                </w:div>
                <w:div w:id="1166165256">
                  <w:marLeft w:val="0"/>
                  <w:marRight w:val="0"/>
                  <w:marTop w:val="0"/>
                  <w:marBottom w:val="0"/>
                  <w:divBdr>
                    <w:top w:val="none" w:sz="0" w:space="0" w:color="auto"/>
                    <w:left w:val="none" w:sz="0" w:space="0" w:color="auto"/>
                    <w:bottom w:val="none" w:sz="0" w:space="0" w:color="auto"/>
                    <w:right w:val="none" w:sz="0" w:space="0" w:color="auto"/>
                  </w:divBdr>
                  <w:divsChild>
                    <w:div w:id="563952312">
                      <w:marLeft w:val="0"/>
                      <w:marRight w:val="0"/>
                      <w:marTop w:val="120"/>
                      <w:marBottom w:val="0"/>
                      <w:divBdr>
                        <w:top w:val="none" w:sz="0" w:space="0" w:color="auto"/>
                        <w:left w:val="none" w:sz="0" w:space="0" w:color="auto"/>
                        <w:bottom w:val="none" w:sz="0" w:space="0" w:color="auto"/>
                        <w:right w:val="none" w:sz="0" w:space="0" w:color="auto"/>
                      </w:divBdr>
                    </w:div>
                    <w:div w:id="83283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627660117">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654</Words>
  <Characters>3731</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30</cp:revision>
  <cp:lastPrinted>2020-04-22T07:34:00Z</cp:lastPrinted>
  <dcterms:created xsi:type="dcterms:W3CDTF">2022-08-18T16:37:00Z</dcterms:created>
  <dcterms:modified xsi:type="dcterms:W3CDTF">2023-09-14T15:19:00Z</dcterms:modified>
</cp:coreProperties>
</file>